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E2" w:rsidRDefault="00711C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</w:t>
      </w:r>
    </w:p>
    <w:p w:rsidR="00980AE2" w:rsidRDefault="00711C1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«МИНСКИЙ ОБЛАСТНОЙ ЦЕНТР ГИГИЕНЫ, ЭПИДЕМИОЛОГИИ </w:t>
      </w:r>
      <w:r>
        <w:rPr>
          <w:rFonts w:ascii="Times New Roman" w:hAnsi="Times New Roman" w:cs="Times New Roman"/>
          <w:sz w:val="32"/>
          <w:szCs w:val="32"/>
        </w:rPr>
        <w:br/>
        <w:t>И ОБЩЕСТВЕННОГО ЗДОРОВЬЯ»</w:t>
      </w:r>
    </w:p>
    <w:p w:rsidR="00980AE2" w:rsidRDefault="00980AE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80AE2" w:rsidRDefault="00980AE2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ПРОГРАММА</w:t>
      </w: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достижения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показателя Цели устойчивого развития</w:t>
      </w: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80AE2" w:rsidRDefault="00711C1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3.3.4. «Заболеваемость гепатитом В на 100 000 человек» </w:t>
      </w:r>
      <w:r>
        <w:rPr>
          <w:rFonts w:ascii="Times New Roman" w:hAnsi="Times New Roman" w:cs="Times New Roman"/>
          <w:b/>
          <w:sz w:val="36"/>
          <w:szCs w:val="36"/>
        </w:rPr>
        <w:br/>
        <w:t>в Минской области</w:t>
      </w:r>
    </w:p>
    <w:p w:rsidR="00980AE2" w:rsidRDefault="00980AE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980AE2">
      <w:pPr>
        <w:rPr>
          <w:rFonts w:ascii="Times New Roman" w:hAnsi="Times New Roman" w:cs="Times New Roman"/>
          <w:b/>
          <w:sz w:val="26"/>
          <w:szCs w:val="26"/>
        </w:rPr>
      </w:pP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Вирусный гепатит В (далее -  ВГВ) – это остро и хронически протекающее инфекционное заболевание, вызываемое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гепадновирусом</w:t>
      </w:r>
      <w:proofErr w:type="spellEnd"/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характеризующееся разнообразием клинических проявлений (от легких до тяжелых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фульминантных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форм), неблагоприятными отдалёнными последствиями и широкой распространённостью среди населения.</w:t>
      </w:r>
      <w:r>
        <w:rPr>
          <w:rFonts w:ascii="Times New Roman" w:hAnsi="Times New Roman" w:cs="Times New Roman"/>
        </w:rPr>
        <w:t xml:space="preserve">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гепатита В варьирует в зависимости от возраста и колеблется от 90% у новорожденных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HBeAg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-позитивных матерей до 25-30% у младенцев </w:t>
      </w:r>
      <w:r>
        <w:rPr>
          <w:rFonts w:ascii="Times New Roman" w:hAnsi="Times New Roman" w:cs="Times New Roman"/>
          <w:sz w:val="28"/>
          <w:szCs w:val="28"/>
        </w:rPr>
        <w:br/>
        <w:t xml:space="preserve">и детей до 5-летнего возраста, а у взрослых составляет до 5-10%. Естественное течение хронической ВГВ-инфекции предполагает трансформацию в цирроз печени (далее – ЦП) в 15-40% случаев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гепатоцелюллярную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карциному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ГЦК) </w:t>
      </w:r>
      <w:r>
        <w:rPr>
          <w:rFonts w:ascii="Times New Roman" w:hAnsi="Times New Roman" w:cs="Times New Roman"/>
          <w:sz w:val="28"/>
          <w:szCs w:val="28"/>
        </w:rPr>
        <w:br/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5-15% случаев.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неблагоприятный клинический прогноз и более быстрое прогрессирование патологического процесса влияет инфицирование сразу несколькими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гепатотропными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вирусами.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у 10-20% пациентов, инфицированных вирусом гепатита В выявляется вирус гепатита С.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исследований с помощью многофакторного анализа показано, что сочетанная ВГВ/ВГС инфекция является значительным и независимым фактором прогрессирования хронического гепатита С до ЦП и независимым фактором риска развития ГЦК.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Отдалённые последствия данной инфекционной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ЦП и ГЦК приводят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смертности населения.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ежегодное количество случаев смерти от ВГВ-инфекции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достигает  около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780 000 человек, в Европейском регионе ВОЗ – 56 000 человек.</w:t>
      </w:r>
    </w:p>
    <w:p w:rsidR="00980AE2" w:rsidRDefault="00711C1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вирусный гепатит В представляет серьезную угрозу общественному здоровью, сопоставимую с другими инфекционными заболеваниями, такими как ВИЧ, туберкулез и малярия. </w:t>
      </w:r>
    </w:p>
    <w:p w:rsidR="00980AE2" w:rsidRDefault="00711C1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Несмотря на то, что гепатит является существенным бременем для населения всех регионов мира, этому заболеванию до недавнего времени не уделялось достаточного внимания в качестве одной из важнейших проблем в области здравоохранения и развития. </w:t>
      </w:r>
    </w:p>
    <w:p w:rsidR="00980AE2" w:rsidRDefault="00711C1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Однако с принятием резолюции по Повестке дня в области устойчивого развития на период до 2030 г. Эта проблема более не будет оставаться в тени. Особое значение в этом отношении имеет Цель 3, предусматривающая конкретные меры борьбы с вирусным гепатитом.</w:t>
      </w:r>
    </w:p>
    <w:p w:rsidR="00980AE2" w:rsidRDefault="00980AE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ЦУР №3</w:t>
      </w:r>
      <w:r>
        <w:rPr>
          <w:rFonts w:ascii="Times New Roman" w:hAnsi="Times New Roman" w:cs="Times New Roman"/>
          <w:sz w:val="28"/>
          <w:szCs w:val="28"/>
        </w:rPr>
        <w:t xml:space="preserve"> посвящена обеспечению здорового образа жизни и содействия благополучию для всех в любом возрасте.</w:t>
      </w:r>
    </w:p>
    <w:p w:rsidR="00980AE2" w:rsidRDefault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в области ЦУР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3.3.: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«К 2030 положить конец эпидемии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заболеваниями».</w:t>
      </w:r>
    </w:p>
    <w:p w:rsidR="00980AE2" w:rsidRDefault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ЦУР 3.3.4. </w:t>
      </w:r>
      <w:r>
        <w:rPr>
          <w:rFonts w:ascii="Times New Roman" w:hAnsi="Times New Roman" w:cs="Times New Roman"/>
          <w:sz w:val="28"/>
          <w:szCs w:val="28"/>
        </w:rPr>
        <w:t>«Заболеваемость гепатитом В на 100 000 человек».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25-27 сентября 2015 года </w:t>
      </w:r>
      <w:r>
        <w:rPr>
          <w:rFonts w:ascii="Times New Roman" w:hAnsi="Times New Roman" w:cs="Times New Roman"/>
          <w:sz w:val="28"/>
          <w:szCs w:val="28"/>
        </w:rPr>
        <w:t xml:space="preserve">Генеральная Ассамблея </w:t>
      </w:r>
      <w:r>
        <w:rPr>
          <w:rFonts w:ascii="Times New Roman" w:hAnsi="Times New Roman" w:cs="Times New Roman"/>
          <w:bCs/>
          <w:sz w:val="28"/>
          <w:szCs w:val="28"/>
        </w:rPr>
        <w:t>ООН рассмотрела «</w:t>
      </w:r>
      <w:r>
        <w:rPr>
          <w:rFonts w:ascii="Times New Roman" w:hAnsi="Times New Roman" w:cs="Times New Roman"/>
          <w:sz w:val="28"/>
          <w:szCs w:val="28"/>
        </w:rPr>
        <w:t xml:space="preserve">Повестку дня в области устойчивого развития на период до 2030 года» (Повестка-2030), утвердила 17 Целей устойчивого развития (ЦУР) и 169 подчиненных им задач.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Вирусный гепатит В представляют собой одну из наиболее значимых глобальных медико-социальных проблем общественного здравоохранения. Актуальность и высокая значимость данной инфекционной патологии определяется медицинскими, эпидемиологическими, социальными и экономическими аспектами проблемы. Неблагополучная ситуация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гемоконтактным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вирусным гепатитам может ставить под угрозу здоровье нации, что характеризует эту инфекцию </w:t>
      </w:r>
      <w:r>
        <w:rPr>
          <w:rFonts w:ascii="Times New Roman" w:hAnsi="Times New Roman" w:cs="Times New Roman"/>
          <w:sz w:val="28"/>
          <w:szCs w:val="28"/>
        </w:rPr>
        <w:br/>
        <w:t>как социально значимую.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10 генотипов вируса: A, B, C, D, E, F, G, H, I и J.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Беларусь циркулирует преимущественно генотип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мире регистрируются миллионы случаев острых форм гепатита, еще большее число инфицированных вирусами гепатитов остаются нераспознанными и неучтенными. В настоящее время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 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оценочным данным живет около 257 млн. человек с хронической ВГВ-инфекцией.,  в Европейском регионе ВОЗ  около 15 млн. человек.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ВГВ – инфекция неравномерно распространена в мире. Выделяют территории </w:t>
      </w:r>
      <w:r>
        <w:rPr>
          <w:rFonts w:ascii="Times New Roman" w:hAnsi="Times New Roman" w:cs="Times New Roman"/>
          <w:sz w:val="28"/>
          <w:szCs w:val="28"/>
        </w:rPr>
        <w:br/>
        <w:t>с высокой (&gt;5%), средней (2-4,9</w:t>
      </w:r>
      <w:proofErr w:type="gramStart"/>
      <w:r>
        <w:rPr>
          <w:rFonts w:ascii="Times New Roman" w:hAnsi="Times New Roman" w:cs="Times New Roman"/>
          <w:sz w:val="28"/>
          <w:szCs w:val="28"/>
        </w:rPr>
        <w:t>%)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низкой (0,1-1,9 %) серологической распространенностью ВГВ-инфекции в популяции. В 2018 году по данным отчетных форм в Республике Беларусь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обследовано</w:t>
      </w:r>
      <w:r>
        <w:rPr>
          <w:rFonts w:ascii="Times New Roman" w:hAnsi="Times New Roman" w:cs="Times New Roman"/>
          <w:sz w:val="28"/>
          <w:szCs w:val="28"/>
        </w:rPr>
        <w:br/>
        <w:t xml:space="preserve"> 1 067 503 человека (11,2% от численности населения), получен 10 401 положительный результат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серопозитивности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0,97%).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смотря на новые возможности и достигнутый прогресс в лечении пациентов, установлено, что полная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эрадикация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ВГВ из организма остаётся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настоящее время практически невозможной [S. Lacarnini,2015]. Пациенты с ВГВ-инфекцией нуждаются в длительном и зачастую пожизненном лечении. Лечение может замедлить развитие цирроза, сократить заболеваемость раком печени </w:t>
      </w:r>
      <w:r>
        <w:rPr>
          <w:rFonts w:ascii="Times New Roman" w:hAnsi="Times New Roman" w:cs="Times New Roman"/>
          <w:sz w:val="28"/>
          <w:szCs w:val="28"/>
        </w:rPr>
        <w:br/>
        <w:t>и улучшить долгосрочную выживаемость. Проблемой является высокая стоимость противовирусных препаратов, что обуславливает низкий доступ широких слоёв населения к лечению.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эпидемиологическом аспекте на активное течение эпидемического процесса влияет наличие множества источников инфекции, наличие как естественных, </w:t>
      </w:r>
      <w:r>
        <w:rPr>
          <w:rFonts w:ascii="Times New Roman" w:hAnsi="Times New Roman" w:cs="Times New Roman"/>
          <w:sz w:val="28"/>
          <w:szCs w:val="28"/>
        </w:rPr>
        <w:br/>
        <w:t xml:space="preserve">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артифициальных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механизмов и путей передачи. Эпидемиологическая значимость источников инфекции определяется высоким уровнем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вирусемии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вирусных частиц  в 1 мл. крови) наряду с низкой инфицирующей дозой (10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 мл. крови для HBV-инфекции).</w:t>
      </w:r>
    </w:p>
    <w:p w:rsidR="00980AE2" w:rsidRPr="00711C18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Такие социально-негативные явления в обществе как рост наркомании, токсикомании и алкоголизации населения, изменение психического статуса населения и поведенческих привычек молодых людей приводят к резкой активизации механизмов передачи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гемоконтактных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гепатитов. По оценкам международных экспертов ВОЗ из 16 млн. людей, употребляющих инъекционные наркотические средства, во всем мире 10 млн.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(62,5%)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ВГС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инфекцию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1,2 </w:t>
      </w:r>
      <w:r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(7,5%) – </w:t>
      </w:r>
      <w:r>
        <w:rPr>
          <w:rFonts w:ascii="Times New Roman" w:hAnsi="Times New Roman" w:cs="Times New Roman"/>
          <w:sz w:val="28"/>
          <w:szCs w:val="28"/>
        </w:rPr>
        <w:t>ВГВ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инфекцию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Sixty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Seventh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Assambly</w:t>
      </w:r>
      <w:proofErr w:type="spellEnd"/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67.6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Viral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Hepatitis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>, 2014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11C18">
        <w:rPr>
          <w:rFonts w:ascii="Times New Roman" w:hAnsi="Times New Roman" w:cs="Times New Roman"/>
          <w:sz w:val="28"/>
          <w:szCs w:val="28"/>
          <w:lang w:val="en-US"/>
        </w:rPr>
        <w:t xml:space="preserve">.]. </w:t>
      </w:r>
    </w:p>
    <w:p w:rsidR="00980AE2" w:rsidRDefault="00711C18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Внутрисемейное инфицирование в очагах инфекции – серьёзная проблема, требующая решения. По данным различных исследований частота инфицирования совместно проживающих лиц в очагах инфекции находится в широких диапазонах. </w:t>
      </w:r>
      <w:r>
        <w:rPr>
          <w:rFonts w:ascii="Times New Roman" w:hAnsi="Times New Roman" w:cs="Times New Roman"/>
          <w:sz w:val="28"/>
          <w:szCs w:val="28"/>
        </w:rPr>
        <w:br/>
        <w:t xml:space="preserve">В очагах гепатита В уровень инфицированности контактных лиц составляет от 8 </w:t>
      </w:r>
      <w:r>
        <w:rPr>
          <w:rFonts w:ascii="Times New Roman" w:hAnsi="Times New Roman" w:cs="Times New Roman"/>
          <w:sz w:val="28"/>
          <w:szCs w:val="28"/>
        </w:rPr>
        <w:br/>
        <w:t xml:space="preserve">до 55,8% на 100 обследованных. Таким образом, не смотря на то, что достигнут значительный прогресс в части диагностики, лечения и профилактики вирусного гепатита В, данное заболевание, по-прежнему, наносит огромный социально-экономический ущерб обществу, обусловленный продолжительным лечением, потерей трудоспособности, иногда инвалидностью и смертностью. </w:t>
      </w:r>
    </w:p>
    <w:p w:rsidR="00980AE2" w:rsidRDefault="00980AE2">
      <w:pPr>
        <w:tabs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Ориентиры ВОЗ по показателю ЦУР 3.3.4.</w:t>
      </w: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Ежегодно 28 июля ВОЗ отмечает Всемирный день борьбы с гепатитом для повышения осведомленности о вирусном гепатите и понимания этой болезни.  </w:t>
      </w:r>
      <w:r>
        <w:rPr>
          <w:rFonts w:ascii="Times New Roman" w:hAnsi="Times New Roman" w:cs="Times New Roman"/>
          <w:sz w:val="28"/>
          <w:szCs w:val="28"/>
        </w:rPr>
        <w:br/>
        <w:t xml:space="preserve">С целью элиминации вирусных гепатитов как угрозы для общественного здоровья </w:t>
      </w:r>
      <w:r>
        <w:rPr>
          <w:rFonts w:ascii="Times New Roman" w:hAnsi="Times New Roman" w:cs="Times New Roman"/>
          <w:sz w:val="28"/>
          <w:szCs w:val="28"/>
        </w:rPr>
        <w:br/>
        <w:t>к 2030 г. В Европейском регионе ВОЗ разработан План действий сектора здравоохранения по борьбе с вирусными гепатитами для содействия реализации Глобальной стратегии сектора здравоохранения по вирусному гепатиту на 2016-2021 гг. (рисунок 1).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2015 года ВОЗ выпустила свои первые «Руководящие принципы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профилактике, помощи и лечению людей с хронической инфекцией гепатита В» </w:t>
      </w:r>
      <w:r>
        <w:rPr>
          <w:rFonts w:ascii="Times New Roman" w:hAnsi="Times New Roman" w:cs="Times New Roman"/>
          <w:sz w:val="28"/>
          <w:szCs w:val="28"/>
        </w:rPr>
        <w:br/>
        <w:t>со следующими рекомендациями: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стимулировать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простых,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диагностических тестов для оценки стадии заболевания печени и возможности лечения;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первоочередное внимание лечению людей с наиболее продвинутой стадией болезни печени и подвергающихся наибольшему риску смерти;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отдавать предпочтение использованию нуклеотидных аналогов с высоким барьером для лекарственной устойчивости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тенофовира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энтекавира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энтекавира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в возрасте от 2 до 11 лет) для лечения первого ряда </w:t>
      </w:r>
      <w:r>
        <w:rPr>
          <w:rFonts w:ascii="Times New Roman" w:hAnsi="Times New Roman" w:cs="Times New Roman"/>
          <w:sz w:val="28"/>
          <w:szCs w:val="28"/>
        </w:rPr>
        <w:br/>
        <w:t>и второго ряда.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руководящие принципы также рекомендуют пожизненное лечение людей </w:t>
      </w:r>
      <w:r>
        <w:rPr>
          <w:rFonts w:ascii="Times New Roman" w:hAnsi="Times New Roman" w:cs="Times New Roman"/>
          <w:sz w:val="28"/>
          <w:szCs w:val="28"/>
        </w:rPr>
        <w:br/>
        <w:t>с циррозом печени и регулярный мониторинг прогрессирования болезни, токсичности лекарств и раннее обнаружение рака печени.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2016 г. Всемирная ассамблея здравоохранения приняла первую «Глобальную стратегию сектора здравоохранения по вирусному гепатиту на 2016-2021 гг.». В стратегии подчеркивается критически важная роль всеобщего охвата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медицинским обслуживанием, а ее цели находятся в соответствии с Целями в области устойчивого развития. </w:t>
      </w: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3480" cy="62096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rcRect l="27155" t="13506" r="30335" b="4310"/>
                    <a:stretch>
                      <a:fillRect/>
                    </a:stretch>
                  </pic:blipFill>
                  <pic:spPr>
                    <a:xfrm>
                      <a:off x="0" y="0"/>
                      <a:ext cx="6255216" cy="6211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E2" w:rsidRDefault="00980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1 - Стратегии сектора здравоохранения по 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вирусному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гепатиту В.</w:t>
      </w: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Видение стратегии, заключающееся в ликвидации вирусного гепатита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качестве проблемы общественного здравоохранения, воплощено в глобальных целях, направленных на уменьшение числа новых инфекций вирусного гепатита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90% и снижение смертности от вирусного гепатита на 65% к 2030 году. </w:t>
      </w:r>
      <w:r>
        <w:rPr>
          <w:rFonts w:ascii="Times New Roman" w:hAnsi="Times New Roman" w:cs="Times New Roman"/>
          <w:sz w:val="28"/>
          <w:szCs w:val="28"/>
        </w:rPr>
        <w:br/>
        <w:t>В стратегии изложены действия, которые надлежит проводить странам и Секретариату ВОЗ для достижения этих целей.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поддержки стран в их усилиях, направленных на достижение глобальных целей по гепатиту в рамках Повестки дня в области устойчивого развития на период до 2030 г., ВОЗ работает по следующим направлениям: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осведомленности, укрепление партнерств и мобилизация ресурсов;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основанной на фактических данных политики и получение данных для практических действий;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инфекции; 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масштабов обслуживания в области скрининга, медицинской помощи и лечения.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оценкам ВОЗ в мире достигнуты очень низкие индикаторные показатели стратегической цели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элиминации  вирусного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гепатита В:  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своем диагнозе знают только 9% людей, живущих с ВГВ (22 млн. из 257 млн.);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лечении находятся только 8% людей, живущих с ВГВ и знающих о своем диагнозе (1,7 млн. из 22 млн.). По итогам 2015 года было зарегистрировано больше новых случаев инфицирования ВГВ, чем пациентов, взятых на лечение.</w:t>
      </w:r>
    </w:p>
    <w:p w:rsidR="00980AE2" w:rsidRDefault="0071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коинфицирования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ВГВ/ВИЧ имеет важное значение. Так во всем мире 2,7 млн. ВИЧ-позитивных пациентов страдают от хронической ВГВ-инфекции. Болезни печени являются основной причиной заболеваемости </w:t>
      </w:r>
      <w:r>
        <w:rPr>
          <w:rFonts w:ascii="Times New Roman" w:hAnsi="Times New Roman" w:cs="Times New Roman"/>
          <w:sz w:val="28"/>
          <w:szCs w:val="28"/>
        </w:rPr>
        <w:br/>
        <w:t>и смертности среди людей, живущих с ВИЧ и одновременно инфицированных вирусом гепатита. Этим людям в приоритетном порядке должен быть поставлен диагноз и обеспечено надлежащее эффективное лечение как ВИЧ, так и гепатита.</w:t>
      </w:r>
    </w:p>
    <w:p w:rsidR="00980AE2" w:rsidRDefault="0071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Выделяет 10 основных и ряд дополнительных индикаторов по мониторингу </w:t>
      </w:r>
      <w:r>
        <w:rPr>
          <w:rFonts w:ascii="Times New Roman" w:hAnsi="Times New Roman" w:cs="Times New Roman"/>
          <w:sz w:val="28"/>
          <w:szCs w:val="28"/>
        </w:rPr>
        <w:br/>
        <w:t>и оценке программ на пути к элиминации вирусного гепатита В (таблица 1):</w:t>
      </w: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0AE2" w:rsidRDefault="00711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индикаторы по мониторингу и оценке программ на пути к элиминации вирусного гепатита В</w:t>
      </w: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2"/>
        <w:tblW w:w="9855" w:type="dxa"/>
        <w:tblLayout w:type="fixed"/>
        <w:tblLook w:val="04A0" w:firstRow="1" w:lastRow="0" w:firstColumn="1" w:lastColumn="0" w:noHBand="0" w:noVBand="1"/>
      </w:tblPr>
      <w:tblGrid>
        <w:gridCol w:w="948"/>
        <w:gridCol w:w="8907"/>
      </w:tblGrid>
      <w:tr w:rsidR="00980AE2">
        <w:tc>
          <w:tcPr>
            <w:tcW w:w="9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индикаторы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распространенности хронической ВГВ-инфекции среди населения (на 100 000 населения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gramEnd"/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маркеры ВГВ (предоставление услуг по тестированию, охват подлежащих контингентов).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вакцинацией против ВГВ подлежащих лиц (% от подлежащих лиц).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программы Снижения вреда для лиц, употребляющих инъекционные наркотики (далее – ЛУИН) (охват профилактическими мероприятиями ЛУИН, охват тестированием на ВГВ ЛУИН, количество выданных материалов (шприцев, презервативов и др.) ЛУИН) 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оказания медицинской помощи пациентам (регистрация случаев ВГВ, связанного с оказанием медицинской помощи; система инфекционного контроля)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vAlign w:val="center"/>
          </w:tcPr>
          <w:p w:rsidR="00980AE2" w:rsidRDefault="00711C18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людей, живущих с ВГВ, знающих свой диагноз, от оценочного числа людей, живущих с ВГВ, % (полнота диагностики заболевания)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vAlign w:val="center"/>
          </w:tcPr>
          <w:p w:rsidR="00980AE2" w:rsidRDefault="00711C18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людей, живущих с ВГВ и получающих лечение, от количества людей, живущих с ВГВ и знающих свой диагноз, % (полнота охвата лечением)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людей, живущих с ВГВ, находящихся на лечении и имеющих неопределяемую вирусную нагрузку, % (эффективность лечения)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новых случаев выявления ВГВ по полу и возрасту на 100 000 (заболеваемость ВГВ)</w:t>
            </w:r>
          </w:p>
        </w:tc>
      </w:tr>
      <w:tr w:rsidR="00980AE2">
        <w:tc>
          <w:tcPr>
            <w:tcW w:w="948" w:type="dxa"/>
          </w:tcPr>
          <w:p w:rsidR="00980AE2" w:rsidRDefault="00980AE2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от ВГВ,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 последствий вирусного поражения печени (от ГЦК и цирроза печени,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развившихся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исходе хронической ВГВ –инфекции)</w:t>
            </w:r>
          </w:p>
        </w:tc>
      </w:tr>
    </w:tbl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обеспечить элиминацию вирусного гепатита к 2030 г., необходим широкомасштабный комплексный подход: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1. Формирование стратегической информационной системы, основанной на эпидемиологическом слежении и программных данных, которая послужит ориентиром для преобразования и осуществления политики. 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2. Ускоренное расширение охватом медицинских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диагностике и лечению. 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3. Всеобщий охват населения медицинскими услугами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профилактике, диагностике и лечению вирусного гепатита В.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4.  Обеспечение устойчивого финансирования мер.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5.  Внедрение инновационных подходов (новые методы диагностики, лечения, профилактики,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специфической).</w:t>
      </w:r>
    </w:p>
    <w:p w:rsidR="00980AE2" w:rsidRDefault="0071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дополнительных индикаторов выделяют следующие:</w:t>
      </w:r>
    </w:p>
    <w:p w:rsidR="00980AE2" w:rsidRDefault="00711C18">
      <w:pPr>
        <w:pStyle w:val="af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регистрация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случаев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коинфекции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суперинфекции другими  вирусами (D, С)  пациентов с ВГВ-инфекцией;</w:t>
      </w:r>
    </w:p>
    <w:p w:rsidR="00980AE2" w:rsidRDefault="00711C18">
      <w:pPr>
        <w:pStyle w:val="af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дискриминация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стигма по отношению к людям с диагнозом ПВГ, ключевым группам населения;</w:t>
      </w:r>
    </w:p>
    <w:p w:rsidR="00980AE2" w:rsidRDefault="00711C18">
      <w:pPr>
        <w:pStyle w:val="af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доступность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основных лекарственных средств и других изделий медицинского назначения;</w:t>
      </w:r>
    </w:p>
    <w:p w:rsidR="00980AE2" w:rsidRDefault="00711C18">
      <w:pPr>
        <w:pStyle w:val="af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характеристики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национальной системы эпидемиологического слежения  за вирусными гепатитами;</w:t>
      </w:r>
    </w:p>
    <w:p w:rsidR="00980AE2" w:rsidRDefault="00711C18">
      <w:pPr>
        <w:pStyle w:val="af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дозорного эпидемиологического слежения за ключевыми группами населения (оценочная численность, поведенческие риски, потребности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в профилактических услугах);</w:t>
      </w:r>
    </w:p>
    <w:p w:rsidR="00980AE2" w:rsidRDefault="00711C18">
      <w:pPr>
        <w:pStyle w:val="af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доступность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эффективность опиоидной заместительной терапии среди ЛУИН.</w:t>
      </w: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по достижению показателя ЦУР 3.3.4. </w:t>
      </w: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и усовершенствование системы эпидемиологического слежения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имеющихся источников данных о ПВГ и отдаленных последствий ПВГ. Получение национальных расчетных (оценочных) показателей - количества людей, живущих </w:t>
      </w:r>
      <w:r>
        <w:rPr>
          <w:rFonts w:ascii="Times New Roman" w:hAnsi="Times New Roman" w:cs="Times New Roman"/>
          <w:sz w:val="28"/>
          <w:szCs w:val="28"/>
        </w:rPr>
        <w:br/>
        <w:t xml:space="preserve">с вирусным гепатитом (включая показатели заболеваемости, распространенности </w:t>
      </w:r>
      <w:r>
        <w:rPr>
          <w:rFonts w:ascii="Times New Roman" w:hAnsi="Times New Roman" w:cs="Times New Roman"/>
          <w:sz w:val="28"/>
          <w:szCs w:val="28"/>
        </w:rPr>
        <w:br/>
        <w:t>и смертности).</w:t>
      </w: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Поддержание на высоком уровне показателей охвата вакцинацией против вирусного гепатита В подлежащих контингентов.</w:t>
      </w: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всеобщего доступа населения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ключевых групп) к услугам по профилактике, диагностике и лечению ВГВ. </w:t>
      </w: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национальной стратегия коммуникации и повышения информированности населения по проблеме.</w:t>
      </w: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безопасности оказания медицинских услуг,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донорства.</w:t>
      </w: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Профилактика передачи вируса гепатита В от матери ребенку.</w:t>
      </w:r>
    </w:p>
    <w:p w:rsidR="00980AE2" w:rsidRDefault="00711C18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в рамках программы снижения вреда для лиц, употребляющих инъекционные наркотики,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опиоидной заместительной терапии.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980AE2" w:rsidRDefault="00980AE2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highlight w:val="red"/>
        </w:rPr>
      </w:pPr>
    </w:p>
    <w:p w:rsidR="00980AE2" w:rsidRDefault="00980A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0AE2" w:rsidRDefault="00980A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0AE2" w:rsidRDefault="00980A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0AE2" w:rsidRDefault="00711C18">
      <w:pPr>
        <w:tabs>
          <w:tab w:val="left" w:pos="1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СТАРТОВЫЕ ПОЗИЦИИ МИНСКОЙ ОБЛАСТИ</w:t>
      </w:r>
    </w:p>
    <w:p w:rsidR="00980AE2" w:rsidRDefault="0071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ПОКАЗАТЕЛЮ ЦУР 3.3.4. </w:t>
      </w: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AE2" w:rsidRDefault="00711C18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ЦУР 3.3.4. определяет область деятельности здравоохранения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по межведомственному взаимодействию по сокращению числа новых случаев инфицирования вирусным гепатитом В, предупреждению развития отдаленных последствий вирусного гепатита В  (цирроза печени, ГЦК), предупреждению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коинфицирования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суперинфицирования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другими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гепатотропными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вирусами, сокращению  случаев смерти от состояний и заболеваний, связанных с вирусным гепатитом В, а так же увеличению продолжительности жизни и повышения уровня здоровья и благополучия всех людей, живущих с вирусным гепатитом В.</w:t>
      </w:r>
    </w:p>
    <w:p w:rsidR="00980AE2" w:rsidRDefault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CF3D7F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в Минс</w:t>
      </w:r>
      <w:r w:rsidR="00420DD4">
        <w:rPr>
          <w:rFonts w:ascii="Times New Roman" w:hAnsi="Times New Roman" w:cs="Times New Roman"/>
          <w:sz w:val="28"/>
          <w:szCs w:val="28"/>
        </w:rPr>
        <w:t>кой области зарегистрировано 374 случая ПВГ (26,1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100 000 населения). В этиологической структуре заболеваемости ПВГ вирус гепатита В был выявле</w:t>
      </w:r>
      <w:r w:rsidR="00420DD4">
        <w:rPr>
          <w:rFonts w:ascii="Times New Roman" w:hAnsi="Times New Roman" w:cs="Times New Roman"/>
          <w:sz w:val="28"/>
          <w:szCs w:val="28"/>
        </w:rPr>
        <w:t>н практически у каждого 4 заболевшего – 23,8% (89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="00420DD4">
        <w:rPr>
          <w:rFonts w:ascii="Times New Roman" w:hAnsi="Times New Roman" w:cs="Times New Roman"/>
          <w:sz w:val="28"/>
          <w:szCs w:val="28"/>
        </w:rPr>
        <w:t>учаев</w:t>
      </w:r>
      <w:r>
        <w:rPr>
          <w:rFonts w:ascii="Times New Roman" w:hAnsi="Times New Roman" w:cs="Times New Roman"/>
          <w:sz w:val="28"/>
          <w:szCs w:val="28"/>
        </w:rPr>
        <w:t>). Соотношение острых и хронических форм вирус</w:t>
      </w:r>
      <w:r w:rsidR="00420DD4">
        <w:rPr>
          <w:rFonts w:ascii="Times New Roman" w:hAnsi="Times New Roman" w:cs="Times New Roman"/>
          <w:sz w:val="28"/>
          <w:szCs w:val="28"/>
        </w:rPr>
        <w:t>ного гепатита В составило 1:21,25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AE2" w:rsidRDefault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нозоформам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вирусного гепатита В структура заболеваемости была распределена следующим образом (таблица 2).</w:t>
      </w:r>
    </w:p>
    <w:p w:rsidR="00980AE2" w:rsidRDefault="009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711C1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80AE2" w:rsidRDefault="00980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заболеваемости вирусным гепатит</w:t>
      </w:r>
      <w:r w:rsidR="00420DD4">
        <w:rPr>
          <w:rFonts w:ascii="Times New Roman" w:hAnsi="Times New Roman" w:cs="Times New Roman"/>
          <w:b/>
          <w:sz w:val="28"/>
          <w:szCs w:val="28"/>
        </w:rPr>
        <w:t>ом В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0AE2" w:rsidRDefault="009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2848"/>
        <w:gridCol w:w="4042"/>
        <w:gridCol w:w="2739"/>
      </w:tblGrid>
      <w:tr w:rsidR="00980AE2">
        <w:tc>
          <w:tcPr>
            <w:tcW w:w="28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Нозоформа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ВГВ</w:t>
            </w:r>
          </w:p>
        </w:tc>
        <w:tc>
          <w:tcPr>
            <w:tcW w:w="4042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Абс.ч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 случаев</w:t>
            </w:r>
          </w:p>
        </w:tc>
        <w:tc>
          <w:tcPr>
            <w:tcW w:w="2739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Показатель на 100 тысяч населения</w:t>
            </w:r>
          </w:p>
        </w:tc>
      </w:tr>
      <w:tr w:rsidR="00980AE2">
        <w:tc>
          <w:tcPr>
            <w:tcW w:w="28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ХГВ</w:t>
            </w:r>
          </w:p>
        </w:tc>
        <w:tc>
          <w:tcPr>
            <w:tcW w:w="4042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84 случаев (22,46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% от всех ПВГ)</w:t>
            </w:r>
          </w:p>
        </w:tc>
        <w:tc>
          <w:tcPr>
            <w:tcW w:w="2739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5,87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на 100 000</w:t>
            </w:r>
          </w:p>
        </w:tc>
      </w:tr>
      <w:tr w:rsidR="00980AE2">
        <w:tc>
          <w:tcPr>
            <w:tcW w:w="28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Нос.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s-ES"/>
              </w:rPr>
              <w:t>HbsAg</w:t>
            </w:r>
            <w:proofErr w:type="spellEnd"/>
          </w:p>
        </w:tc>
        <w:tc>
          <w:tcPr>
            <w:tcW w:w="4042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 случай (0,27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% от всех ПВГ)</w:t>
            </w:r>
          </w:p>
        </w:tc>
        <w:tc>
          <w:tcPr>
            <w:tcW w:w="2739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0,07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на 100 000</w:t>
            </w:r>
          </w:p>
        </w:tc>
      </w:tr>
      <w:tr w:rsidR="00980AE2">
        <w:tc>
          <w:tcPr>
            <w:tcW w:w="28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Всего хроническая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s-ES"/>
              </w:rPr>
              <w:t>HBV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-инфекции</w:t>
            </w:r>
          </w:p>
        </w:tc>
        <w:tc>
          <w:tcPr>
            <w:tcW w:w="4042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85 случаев (22,73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% от всех ПВГ)</w:t>
            </w:r>
          </w:p>
        </w:tc>
        <w:tc>
          <w:tcPr>
            <w:tcW w:w="2739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5,94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на 100 000</w:t>
            </w:r>
          </w:p>
        </w:tc>
      </w:tr>
      <w:tr w:rsidR="00980AE2">
        <w:tc>
          <w:tcPr>
            <w:tcW w:w="28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ОГВ</w:t>
            </w:r>
          </w:p>
        </w:tc>
        <w:tc>
          <w:tcPr>
            <w:tcW w:w="4042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4 случая (1,07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% от всех ПВГ)</w:t>
            </w:r>
          </w:p>
        </w:tc>
        <w:tc>
          <w:tcPr>
            <w:tcW w:w="2739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0,28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на 100 000</w:t>
            </w:r>
          </w:p>
        </w:tc>
      </w:tr>
      <w:tr w:rsidR="00980AE2">
        <w:tc>
          <w:tcPr>
            <w:tcW w:w="2848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нозоформы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ВГВ</w:t>
            </w:r>
          </w:p>
        </w:tc>
        <w:tc>
          <w:tcPr>
            <w:tcW w:w="4042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89 случаев (23,8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% от всех ПВГ)</w:t>
            </w:r>
          </w:p>
        </w:tc>
        <w:tc>
          <w:tcPr>
            <w:tcW w:w="2739" w:type="dxa"/>
          </w:tcPr>
          <w:p w:rsidR="00980AE2" w:rsidRDefault="00FD5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6,22</w:t>
            </w:r>
            <w:r w:rsidR="00711C18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на 100 000</w:t>
            </w:r>
          </w:p>
        </w:tc>
      </w:tr>
    </w:tbl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980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AE2" w:rsidRDefault="00FD5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2007 г. по 2020</w:t>
      </w:r>
      <w:r w:rsidR="00711C18">
        <w:rPr>
          <w:rFonts w:ascii="Times New Roman" w:hAnsi="Times New Roman" w:cs="Times New Roman"/>
          <w:sz w:val="28"/>
          <w:szCs w:val="28"/>
        </w:rPr>
        <w:t xml:space="preserve"> г. в многолетней динамике заболеваемости по отдельным </w:t>
      </w:r>
      <w:proofErr w:type="spellStart"/>
      <w:r w:rsidR="00711C18">
        <w:rPr>
          <w:rFonts w:ascii="Times New Roman" w:hAnsi="Times New Roman" w:cs="Times New Roman"/>
          <w:sz w:val="28"/>
          <w:szCs w:val="28"/>
        </w:rPr>
        <w:t>нозоформам</w:t>
      </w:r>
      <w:proofErr w:type="spellEnd"/>
      <w:r w:rsidR="00711C18">
        <w:rPr>
          <w:rFonts w:ascii="Times New Roman" w:hAnsi="Times New Roman" w:cs="Times New Roman"/>
          <w:sz w:val="28"/>
          <w:szCs w:val="28"/>
        </w:rPr>
        <w:t xml:space="preserve"> ВГВ наблюдается снижение заболеваемости (рисунок 2):</w:t>
      </w:r>
    </w:p>
    <w:p w:rsidR="00980AE2" w:rsidRDefault="00711C18">
      <w:pPr>
        <w:pStyle w:val="af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остр</w:t>
      </w:r>
      <w:r w:rsidR="00DB2CAD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DB2CAD">
        <w:rPr>
          <w:rFonts w:ascii="Times New Roman" w:hAnsi="Times New Roman" w:cs="Times New Roman"/>
          <w:sz w:val="28"/>
          <w:szCs w:val="28"/>
        </w:rPr>
        <w:t xml:space="preserve"> гепатитом В (ОГВ) – выраженная</w:t>
      </w:r>
      <w:r>
        <w:rPr>
          <w:rFonts w:ascii="Times New Roman" w:hAnsi="Times New Roman" w:cs="Times New Roman"/>
          <w:sz w:val="28"/>
          <w:szCs w:val="28"/>
        </w:rPr>
        <w:t xml:space="preserve"> тенденция к снижению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B2C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2CAD" w:rsidRPr="00DB2CAD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DB2CAD" w:rsidRPr="00DB2CAD">
        <w:rPr>
          <w:rFonts w:ascii="Times New Roman" w:hAnsi="Times New Roman" w:cs="Times New Roman"/>
          <w:sz w:val="28"/>
          <w:szCs w:val="28"/>
        </w:rPr>
        <w:t>= -6,52</w:t>
      </w:r>
      <w:r w:rsidR="00DB2CAD" w:rsidRPr="00DB2CAD">
        <w:rPr>
          <w:rFonts w:ascii="Times New Roman" w:hAnsi="Times New Roman" w:cs="Times New Roman"/>
          <w:sz w:val="28"/>
          <w:szCs w:val="28"/>
        </w:rPr>
        <w:t>%)</w:t>
      </w:r>
      <w:r w:rsidRPr="00DB2C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E2" w:rsidRDefault="00711C18">
      <w:pPr>
        <w:pStyle w:val="af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носительством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маркеров гепатита В (НВ) – выраженная тенденция к снижению </w:t>
      </w:r>
      <w:r w:rsidRPr="00DB2C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2CAD" w:rsidRPr="00DB2CAD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DB2CAD" w:rsidRPr="00DB2CAD">
        <w:rPr>
          <w:rFonts w:ascii="Times New Roman" w:hAnsi="Times New Roman" w:cs="Times New Roman"/>
          <w:sz w:val="28"/>
          <w:szCs w:val="28"/>
        </w:rPr>
        <w:t>= -24,83%</w:t>
      </w:r>
      <w:r w:rsidRPr="00DB2CAD">
        <w:rPr>
          <w:rFonts w:ascii="Times New Roman" w:hAnsi="Times New Roman" w:cs="Times New Roman"/>
          <w:sz w:val="28"/>
          <w:szCs w:val="28"/>
        </w:rPr>
        <w:t>);</w:t>
      </w:r>
    </w:p>
    <w:p w:rsidR="00980AE2" w:rsidRDefault="00711C18">
      <w:pPr>
        <w:pStyle w:val="af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хронического гепатита В </w:t>
      </w:r>
      <w:r w:rsidR="00DB2CAD">
        <w:rPr>
          <w:rFonts w:ascii="Times New Roman" w:hAnsi="Times New Roman" w:cs="Times New Roman"/>
          <w:sz w:val="28"/>
          <w:szCs w:val="28"/>
        </w:rPr>
        <w:t xml:space="preserve">умеренная </w:t>
      </w:r>
      <w:r>
        <w:rPr>
          <w:rFonts w:ascii="Times New Roman" w:hAnsi="Times New Roman" w:cs="Times New Roman"/>
          <w:sz w:val="28"/>
          <w:szCs w:val="28"/>
        </w:rPr>
        <w:t>тенденция</w:t>
      </w:r>
      <w:r w:rsidR="00DB2CAD">
        <w:rPr>
          <w:rFonts w:ascii="Times New Roman" w:hAnsi="Times New Roman" w:cs="Times New Roman"/>
          <w:sz w:val="28"/>
          <w:szCs w:val="28"/>
        </w:rPr>
        <w:t xml:space="preserve"> к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C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B2CAD" w:rsidRPr="00DB2CAD">
        <w:rPr>
          <w:rFonts w:ascii="Times New Roman" w:hAnsi="Times New Roman" w:cs="Times New Roman"/>
          <w:sz w:val="28"/>
          <w:szCs w:val="28"/>
        </w:rPr>
        <w:t>Тпр</w:t>
      </w:r>
      <w:proofErr w:type="spellEnd"/>
      <w:r w:rsidR="00DB2CAD" w:rsidRPr="00DB2CAD">
        <w:rPr>
          <w:rFonts w:ascii="Times New Roman" w:hAnsi="Times New Roman" w:cs="Times New Roman"/>
          <w:sz w:val="28"/>
          <w:szCs w:val="28"/>
        </w:rPr>
        <w:t>= -3,70%</w:t>
      </w:r>
      <w:r w:rsidRPr="00DB2CAD">
        <w:rPr>
          <w:rFonts w:ascii="Times New Roman" w:hAnsi="Times New Roman" w:cs="Times New Roman"/>
          <w:sz w:val="28"/>
          <w:szCs w:val="28"/>
        </w:rPr>
        <w:t>)</w:t>
      </w:r>
    </w:p>
    <w:p w:rsidR="00980AE2" w:rsidRDefault="00FD5BB4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355F">
        <w:rPr>
          <w:noProof/>
          <w:lang w:eastAsia="ru-RU"/>
        </w:rPr>
        <w:drawing>
          <wp:inline distT="0" distB="0" distL="0" distR="0" wp14:anchorId="13CC6306" wp14:editId="22FF8F62">
            <wp:extent cx="6539024" cy="3327400"/>
            <wp:effectExtent l="0" t="0" r="1460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0AE2" w:rsidRDefault="00711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Рис. 2</w:t>
      </w:r>
      <w:r>
        <w:rPr>
          <w:rFonts w:ascii="Times New Roman" w:hAnsi="Times New Roman" w:cs="Times New Roman"/>
          <w:b/>
          <w:sz w:val="28"/>
          <w:szCs w:val="28"/>
        </w:rPr>
        <w:t xml:space="preserve"> - Многолетняя динамика заболеваемости всеми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нозоформами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гепатита В населе</w:t>
      </w:r>
      <w:r w:rsidR="00FD5BB4">
        <w:rPr>
          <w:rFonts w:ascii="Times New Roman" w:hAnsi="Times New Roman" w:cs="Times New Roman"/>
          <w:b/>
          <w:sz w:val="28"/>
          <w:szCs w:val="28"/>
        </w:rPr>
        <w:t>ния Минской области за 2007-2020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980AE2" w:rsidRDefault="00980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80AE2" w:rsidRDefault="00711C18">
      <w:pPr>
        <w:pStyle w:val="af3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ПРОБЛЕМНО-ЦЕЛЕВОЙ АНАЛИЗ ДОСТИЖЕНИЯ ПОКАЗАТЕЛЯ ЦУР 3.3.4.</w:t>
      </w:r>
    </w:p>
    <w:p w:rsidR="00980AE2" w:rsidRDefault="009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1DE" w:rsidRPr="00F361DE" w:rsidRDefault="00F361DE" w:rsidP="00F3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DE">
        <w:rPr>
          <w:rFonts w:ascii="Times New Roman" w:hAnsi="Times New Roman" w:cs="Times New Roman"/>
          <w:sz w:val="28"/>
          <w:szCs w:val="28"/>
        </w:rPr>
        <w:t>На протяжении 2020 года наибольший вклад в социальную структуру заболеваемости вносило работающее население, на их долю приходилось 57,76% от общего количества случаев (в том числе работники организаций здравоохранения – 9,2%, работники торговли и общепита – 3,33%, предприятия пищевой промышленности  - 1,67%, работники учреждений образования – 10%, работники молочно-товарных ферм – 2,9%, промышленные предприятия – 38,3%, жилищно-эксплуатационные службы по обслуживанию водопроводных сооружений – 0,4%, работники прочих организаций – 34,2%); находящиеся в декретном отпуске – 1,6%, неорганизованный ребенок – 0,53%, неработающий  - 37,97%, военнослужащий  - 0,27%, студент ВУЗа – 0,27%, не установлено - 1,6%</w:t>
      </w:r>
      <w:r w:rsidRPr="00F361DE">
        <w:rPr>
          <w:rFonts w:ascii="Times New Roman" w:hAnsi="Times New Roman" w:cs="Times New Roman"/>
          <w:sz w:val="28"/>
          <w:szCs w:val="28"/>
        </w:rPr>
        <w:t>, рис. 3,4</w:t>
      </w:r>
      <w:r w:rsidRPr="00F361DE">
        <w:rPr>
          <w:rFonts w:ascii="Times New Roman" w:hAnsi="Times New Roman" w:cs="Times New Roman"/>
          <w:sz w:val="28"/>
          <w:szCs w:val="28"/>
        </w:rPr>
        <w:t>.</w:t>
      </w:r>
    </w:p>
    <w:p w:rsidR="00980AE2" w:rsidRDefault="00F3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5F">
        <w:rPr>
          <w:noProof/>
          <w:lang w:eastAsia="ru-RU"/>
        </w:rPr>
        <w:lastRenderedPageBreak/>
        <w:drawing>
          <wp:inline distT="0" distB="0" distL="0" distR="0" wp14:anchorId="690B94B1" wp14:editId="7C543AD7">
            <wp:extent cx="6103088" cy="2813050"/>
            <wp:effectExtent l="0" t="0" r="12065" b="63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1DE" w:rsidRDefault="00F36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AE2" w:rsidRDefault="00711C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Рис.3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Социальная структура ПВГ по Минско</w:t>
      </w:r>
      <w:r w:rsidR="00F361DE">
        <w:rPr>
          <w:rFonts w:ascii="Times New Roman" w:hAnsi="Times New Roman" w:cs="Times New Roman"/>
          <w:b/>
          <w:sz w:val="28"/>
          <w:szCs w:val="28"/>
        </w:rPr>
        <w:t>й области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61DE" w:rsidRDefault="00F36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DE" w:rsidRDefault="00F36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DE" w:rsidRDefault="00F36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5F">
        <w:rPr>
          <w:noProof/>
          <w:lang w:eastAsia="ru-RU"/>
        </w:rPr>
        <w:drawing>
          <wp:inline distT="0" distB="0" distL="0" distR="0" wp14:anchorId="416C0B4D" wp14:editId="68FA6821">
            <wp:extent cx="6046750" cy="2813050"/>
            <wp:effectExtent l="0" t="0" r="1143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61DE" w:rsidRDefault="00F3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1DE" w:rsidRDefault="00F361DE" w:rsidP="00F3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1DE">
        <w:rPr>
          <w:rFonts w:ascii="Times New Roman" w:hAnsi="Times New Roman" w:cs="Times New Roman"/>
          <w:b/>
          <w:i/>
          <w:sz w:val="28"/>
          <w:szCs w:val="28"/>
        </w:rPr>
        <w:t>Рис. 4</w:t>
      </w:r>
      <w:r w:rsidRPr="00F361DE">
        <w:rPr>
          <w:rFonts w:ascii="Times New Roman" w:hAnsi="Times New Roman" w:cs="Times New Roman"/>
          <w:sz w:val="28"/>
          <w:szCs w:val="28"/>
        </w:rPr>
        <w:t xml:space="preserve"> –</w:t>
      </w:r>
      <w:r w:rsidRPr="00A6355F">
        <w:rPr>
          <w:rFonts w:ascii="Times New Roman" w:hAnsi="Times New Roman" w:cs="Times New Roman"/>
          <w:sz w:val="24"/>
          <w:szCs w:val="24"/>
        </w:rPr>
        <w:t xml:space="preserve"> </w:t>
      </w:r>
      <w:r w:rsidRPr="00F361DE">
        <w:rPr>
          <w:rFonts w:ascii="Times New Roman" w:hAnsi="Times New Roman" w:cs="Times New Roman"/>
          <w:b/>
          <w:sz w:val="28"/>
          <w:szCs w:val="28"/>
        </w:rPr>
        <w:t xml:space="preserve">Распределение среди работающих лиц в социальной структуре ПВГ по Минской области за </w:t>
      </w:r>
      <w:r w:rsidRPr="00F361DE">
        <w:rPr>
          <w:rFonts w:ascii="Times New Roman" w:hAnsi="Times New Roman" w:cs="Times New Roman"/>
          <w:b/>
          <w:sz w:val="28"/>
          <w:szCs w:val="28"/>
        </w:rPr>
        <w:t>2020 год</w:t>
      </w:r>
      <w:r w:rsidRPr="00F361DE">
        <w:rPr>
          <w:rFonts w:ascii="Times New Roman" w:hAnsi="Times New Roman" w:cs="Times New Roman"/>
          <w:b/>
          <w:sz w:val="28"/>
          <w:szCs w:val="28"/>
        </w:rPr>
        <w:t>.</w:t>
      </w:r>
    </w:p>
    <w:p w:rsidR="00F361DE" w:rsidRPr="00F361DE" w:rsidRDefault="00F361DE" w:rsidP="00F3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1DE" w:rsidRPr="00F361DE" w:rsidRDefault="00F361DE" w:rsidP="00F3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DE">
        <w:rPr>
          <w:rFonts w:ascii="Times New Roman" w:hAnsi="Times New Roman" w:cs="Times New Roman"/>
          <w:sz w:val="28"/>
          <w:szCs w:val="28"/>
        </w:rPr>
        <w:t>Согласно статистическим данным в большинстве случаев установить источник инфекции не удалось (46,5% от общего количества в 2020 году). Следует отметить, что доля случаем с неустановленным источником инфекции увеличилась по сравнению с 2018 и 2019 гг., (</w:t>
      </w:r>
      <w:r w:rsidRPr="00F361DE">
        <w:rPr>
          <w:rFonts w:ascii="Times New Roman" w:hAnsi="Times New Roman" w:cs="Times New Roman"/>
          <w:sz w:val="28"/>
          <w:szCs w:val="28"/>
        </w:rPr>
        <w:t>рисунок 5</w:t>
      </w:r>
      <w:r w:rsidRPr="00F361DE">
        <w:rPr>
          <w:rFonts w:ascii="Times New Roman" w:hAnsi="Times New Roman" w:cs="Times New Roman"/>
          <w:sz w:val="28"/>
          <w:szCs w:val="28"/>
        </w:rPr>
        <w:t xml:space="preserve">). Данный факт можно связать со снижением качества проведения </w:t>
      </w:r>
      <w:proofErr w:type="spellStart"/>
      <w:r w:rsidRPr="00F361DE">
        <w:rPr>
          <w:rFonts w:ascii="Times New Roman" w:hAnsi="Times New Roman" w:cs="Times New Roman"/>
          <w:sz w:val="28"/>
          <w:szCs w:val="28"/>
        </w:rPr>
        <w:t>эпидрасследования</w:t>
      </w:r>
      <w:proofErr w:type="spellEnd"/>
      <w:r w:rsidRPr="00F361DE">
        <w:rPr>
          <w:rFonts w:ascii="Times New Roman" w:hAnsi="Times New Roman" w:cs="Times New Roman"/>
          <w:sz w:val="28"/>
          <w:szCs w:val="28"/>
        </w:rPr>
        <w:t xml:space="preserve"> случаев инфекций, а также с уменьшением доли случаев относящихся к «прочим», в данную группу специалисты </w:t>
      </w:r>
      <w:r w:rsidRPr="00F361DE">
        <w:rPr>
          <w:rFonts w:ascii="Times New Roman" w:hAnsi="Times New Roman" w:cs="Times New Roman"/>
          <w:sz w:val="28"/>
          <w:szCs w:val="28"/>
        </w:rPr>
        <w:br/>
        <w:t xml:space="preserve">на местах включали случаи, которые могли быть отнесены </w:t>
      </w:r>
      <w:r w:rsidRPr="00F361DE">
        <w:rPr>
          <w:rFonts w:ascii="Times New Roman" w:hAnsi="Times New Roman" w:cs="Times New Roman"/>
          <w:sz w:val="28"/>
          <w:szCs w:val="28"/>
        </w:rPr>
        <w:br/>
        <w:t xml:space="preserve">к установленным путям (парентеральный, контактно-бытовой). </w:t>
      </w:r>
    </w:p>
    <w:p w:rsidR="00980AE2" w:rsidRDefault="009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green"/>
        </w:rPr>
      </w:pPr>
    </w:p>
    <w:p w:rsidR="00980AE2" w:rsidRDefault="00F361DE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  <w:r w:rsidRPr="00A6355F">
        <w:rPr>
          <w:noProof/>
          <w:lang w:eastAsia="ru-RU"/>
        </w:rPr>
        <w:lastRenderedPageBreak/>
        <w:drawing>
          <wp:inline distT="0" distB="0" distL="0" distR="0" wp14:anchorId="07E302EA" wp14:editId="2AF38AEC">
            <wp:extent cx="6602819" cy="3232150"/>
            <wp:effectExtent l="0" t="0" r="7620" b="63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61DE" w:rsidRPr="00A6355F" w:rsidRDefault="00F361DE" w:rsidP="00F361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Рис. 5</w:t>
      </w:r>
      <w:r w:rsidRPr="00F361DE">
        <w:rPr>
          <w:rFonts w:ascii="Times New Roman" w:hAnsi="Times New Roman" w:cs="Times New Roman"/>
          <w:sz w:val="28"/>
          <w:szCs w:val="28"/>
        </w:rPr>
        <w:t xml:space="preserve"> –</w:t>
      </w:r>
      <w:r w:rsidRPr="00A6355F">
        <w:rPr>
          <w:rFonts w:ascii="Times New Roman" w:hAnsi="Times New Roman" w:cs="Times New Roman"/>
          <w:sz w:val="24"/>
          <w:szCs w:val="24"/>
        </w:rPr>
        <w:t xml:space="preserve"> </w:t>
      </w:r>
      <w:r w:rsidRPr="00F361DE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путей передачи ПВГ за 2018, 2019 и 2020 годы.</w:t>
      </w:r>
    </w:p>
    <w:p w:rsidR="00980AE2" w:rsidRDefault="00980AE2" w:rsidP="00F36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980AE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F361DE" w:rsidRPr="003F4A1B" w:rsidRDefault="00F361DE" w:rsidP="00F3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1B">
        <w:rPr>
          <w:rFonts w:ascii="Times New Roman" w:hAnsi="Times New Roman" w:cs="Times New Roman"/>
          <w:sz w:val="28"/>
          <w:szCs w:val="28"/>
        </w:rPr>
        <w:t>За 12 месяцев 2020 года всего по Минской области выявлено 360 контактных лиц в очагах паре</w:t>
      </w:r>
      <w:r w:rsidR="003F4A1B">
        <w:rPr>
          <w:rFonts w:ascii="Times New Roman" w:hAnsi="Times New Roman" w:cs="Times New Roman"/>
          <w:sz w:val="28"/>
          <w:szCs w:val="28"/>
        </w:rPr>
        <w:t xml:space="preserve">нтеральных вирусных гепатитов, </w:t>
      </w:r>
      <w:r w:rsidRPr="003F4A1B">
        <w:rPr>
          <w:rFonts w:ascii="Times New Roman" w:hAnsi="Times New Roman" w:cs="Times New Roman"/>
          <w:sz w:val="28"/>
          <w:szCs w:val="28"/>
        </w:rPr>
        <w:t>из них лабораторно обследовано 296 человек, что составляет 82,2</w:t>
      </w:r>
      <w:r w:rsidR="003F4A1B">
        <w:rPr>
          <w:rFonts w:ascii="Times New Roman" w:hAnsi="Times New Roman" w:cs="Times New Roman"/>
          <w:sz w:val="28"/>
          <w:szCs w:val="28"/>
        </w:rPr>
        <w:t xml:space="preserve"> % </w:t>
      </w:r>
      <w:r w:rsidRPr="003F4A1B">
        <w:rPr>
          <w:rFonts w:ascii="Times New Roman" w:hAnsi="Times New Roman" w:cs="Times New Roman"/>
          <w:sz w:val="28"/>
          <w:szCs w:val="28"/>
        </w:rPr>
        <w:t>(без учета ранее привитых против</w:t>
      </w:r>
      <w:r w:rsidR="003F4A1B">
        <w:rPr>
          <w:rFonts w:ascii="Times New Roman" w:hAnsi="Times New Roman" w:cs="Times New Roman"/>
          <w:sz w:val="28"/>
          <w:szCs w:val="28"/>
        </w:rPr>
        <w:t xml:space="preserve"> гепатита). За такой же период </w:t>
      </w:r>
      <w:r w:rsidRPr="003F4A1B">
        <w:rPr>
          <w:rFonts w:ascii="Times New Roman" w:hAnsi="Times New Roman" w:cs="Times New Roman"/>
          <w:sz w:val="28"/>
          <w:szCs w:val="28"/>
        </w:rPr>
        <w:t xml:space="preserve">в 2019 году выявлено 738 контактных лиц в очагах парентеральных вирусных гепатитов, из них лабораторно обследовано 616 человек, </w:t>
      </w:r>
      <w:r w:rsidRPr="003F4A1B">
        <w:rPr>
          <w:rFonts w:ascii="Times New Roman" w:hAnsi="Times New Roman" w:cs="Times New Roman"/>
          <w:sz w:val="28"/>
          <w:szCs w:val="28"/>
        </w:rPr>
        <w:br/>
        <w:t>что составило 83,5 %. Таким образом, отмечается отрицательная динамика по увеличению охв</w:t>
      </w:r>
      <w:r w:rsidRPr="003F4A1B">
        <w:rPr>
          <w:rFonts w:ascii="Times New Roman" w:hAnsi="Times New Roman" w:cs="Times New Roman"/>
          <w:sz w:val="28"/>
          <w:szCs w:val="28"/>
        </w:rPr>
        <w:t xml:space="preserve">ата лабораторными обследования </w:t>
      </w:r>
      <w:r w:rsidRPr="003F4A1B">
        <w:rPr>
          <w:rFonts w:ascii="Times New Roman" w:hAnsi="Times New Roman" w:cs="Times New Roman"/>
          <w:sz w:val="28"/>
          <w:szCs w:val="28"/>
        </w:rPr>
        <w:t>на маркеры ПВГ.</w:t>
      </w:r>
    </w:p>
    <w:p w:rsidR="00F361DE" w:rsidRPr="003F4A1B" w:rsidRDefault="00F361DE" w:rsidP="00F3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1B">
        <w:rPr>
          <w:rFonts w:ascii="Times New Roman" w:hAnsi="Times New Roman" w:cs="Times New Roman"/>
          <w:sz w:val="28"/>
          <w:szCs w:val="28"/>
        </w:rPr>
        <w:t>В структуре причин недостаточного охвата лабораторным обследованием контактных лиц в очагах ПВГ выявлено следующее: 5,09% планировали пройти обследование в ближайшее время; у 20 % выявлена низкая моти</w:t>
      </w:r>
      <w:r w:rsidR="003F4A1B">
        <w:rPr>
          <w:rFonts w:ascii="Times New Roman" w:hAnsi="Times New Roman" w:cs="Times New Roman"/>
          <w:sz w:val="28"/>
          <w:szCs w:val="28"/>
        </w:rPr>
        <w:t xml:space="preserve">вация и </w:t>
      </w:r>
      <w:r w:rsidRPr="003F4A1B">
        <w:rPr>
          <w:rFonts w:ascii="Times New Roman" w:hAnsi="Times New Roman" w:cs="Times New Roman"/>
          <w:sz w:val="28"/>
          <w:szCs w:val="28"/>
        </w:rPr>
        <w:t>незаинтересованность; 57,63 % контактных отказа</w:t>
      </w:r>
      <w:r w:rsidR="003F4A1B">
        <w:rPr>
          <w:rFonts w:ascii="Times New Roman" w:hAnsi="Times New Roman" w:cs="Times New Roman"/>
          <w:sz w:val="28"/>
          <w:szCs w:val="28"/>
        </w:rPr>
        <w:t xml:space="preserve">лись от обследования </w:t>
      </w:r>
      <w:proofErr w:type="spellStart"/>
      <w:r w:rsidR="003F4A1B">
        <w:rPr>
          <w:rFonts w:ascii="Times New Roman" w:hAnsi="Times New Roman" w:cs="Times New Roman"/>
          <w:sz w:val="28"/>
          <w:szCs w:val="28"/>
        </w:rPr>
        <w:t>без</w:t>
      </w:r>
      <w:r w:rsidRPr="003F4A1B">
        <w:rPr>
          <w:rFonts w:ascii="Times New Roman" w:hAnsi="Times New Roman" w:cs="Times New Roman"/>
          <w:sz w:val="28"/>
          <w:szCs w:val="28"/>
        </w:rPr>
        <w:t>объяснения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 причин, несмотря на проведенную разъяснительную работу; 10,17 % ссылались на нехватку времени для сдачи анализа; 1,69 % ведут асоциальный образ жизни; 25,42 % не явились на обследование, </w:t>
      </w:r>
      <w:r w:rsidR="003F4A1B" w:rsidRPr="003F4A1B">
        <w:rPr>
          <w:rFonts w:ascii="Times New Roman" w:hAnsi="Times New Roman" w:cs="Times New Roman"/>
          <w:sz w:val="28"/>
          <w:szCs w:val="28"/>
        </w:rPr>
        <w:t>рисунок 6</w:t>
      </w:r>
      <w:r w:rsidRPr="003F4A1B">
        <w:rPr>
          <w:rFonts w:ascii="Times New Roman" w:hAnsi="Times New Roman" w:cs="Times New Roman"/>
          <w:sz w:val="28"/>
          <w:szCs w:val="28"/>
        </w:rPr>
        <w:t>.</w:t>
      </w:r>
    </w:p>
    <w:p w:rsidR="00980AE2" w:rsidRDefault="00711C18" w:rsidP="003F4A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F4A1B">
        <w:rPr>
          <w:noProof/>
          <w:lang w:eastAsia="ru-RU"/>
        </w:rPr>
        <w:drawing>
          <wp:inline distT="0" distB="0" distL="0" distR="0" wp14:anchorId="210BC9F1" wp14:editId="59D1410E">
            <wp:extent cx="6475228" cy="2657475"/>
            <wp:effectExtent l="38100" t="0" r="190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0AE2" w:rsidRDefault="003F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A1B">
        <w:rPr>
          <w:rFonts w:ascii="Times New Roman" w:hAnsi="Times New Roman" w:cs="Times New Roman"/>
          <w:b/>
          <w:bCs/>
          <w:i/>
          <w:sz w:val="28"/>
          <w:szCs w:val="28"/>
        </w:rPr>
        <w:t>Рис. 6</w:t>
      </w:r>
      <w:r w:rsidR="00711C18" w:rsidRPr="003F4A1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11C18">
        <w:rPr>
          <w:rFonts w:ascii="Times New Roman" w:hAnsi="Times New Roman" w:cs="Times New Roman"/>
          <w:b/>
          <w:bCs/>
          <w:sz w:val="28"/>
          <w:szCs w:val="28"/>
        </w:rPr>
        <w:t xml:space="preserve"> - Структура причи</w:t>
      </w:r>
      <w:r>
        <w:rPr>
          <w:rFonts w:ascii="Times New Roman" w:hAnsi="Times New Roman" w:cs="Times New Roman"/>
          <w:b/>
          <w:bCs/>
          <w:sz w:val="28"/>
          <w:szCs w:val="28"/>
        </w:rPr>
        <w:t>н отказов от обследования в 2020</w:t>
      </w:r>
      <w:r w:rsidR="00711C18">
        <w:rPr>
          <w:rFonts w:ascii="Times New Roman" w:hAnsi="Times New Roman" w:cs="Times New Roman"/>
          <w:b/>
          <w:bCs/>
          <w:sz w:val="28"/>
          <w:szCs w:val="28"/>
        </w:rPr>
        <w:t xml:space="preserve"> году по Минской области.</w:t>
      </w:r>
    </w:p>
    <w:p w:rsidR="00980AE2" w:rsidRDefault="00980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1B" w:rsidRDefault="003F4A1B" w:rsidP="003F4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A1B">
        <w:rPr>
          <w:rFonts w:ascii="Times New Roman" w:hAnsi="Times New Roman" w:cs="Times New Roman"/>
          <w:sz w:val="28"/>
          <w:szCs w:val="28"/>
        </w:rPr>
        <w:t xml:space="preserve">При анализе выявления, обследования и вакцинации контактных из очагов парентеральных вирусных гепатитов В на территории Минской области за 2020 год установлено, что наибольшее количество контактных в очагах выявлено на территории Борисовского района (13,9% от общего количества по области или 14 контактных), </w:t>
      </w:r>
      <w:proofErr w:type="spellStart"/>
      <w:r w:rsidRPr="003F4A1B">
        <w:rPr>
          <w:rFonts w:ascii="Times New Roman" w:hAnsi="Times New Roman" w:cs="Times New Roman"/>
          <w:sz w:val="28"/>
          <w:szCs w:val="28"/>
        </w:rPr>
        <w:t>Вилейского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 – 14,9 % от общего числа (15 человек), </w:t>
      </w:r>
      <w:proofErr w:type="spellStart"/>
      <w:r w:rsidRPr="003F4A1B">
        <w:rPr>
          <w:rFonts w:ascii="Times New Roman" w:hAnsi="Times New Roman" w:cs="Times New Roman"/>
          <w:sz w:val="28"/>
          <w:szCs w:val="28"/>
        </w:rPr>
        <w:t>Молодечненского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 района – 19,8 % (20 человек) и </w:t>
      </w:r>
      <w:proofErr w:type="spellStart"/>
      <w:r w:rsidRPr="003F4A1B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 района – 15,8 % (16 человек). Наибольшая результативность по охвату обследованиями и вакцинацией контактных из очагов гепатита В выявлена на территориях Крупского и </w:t>
      </w:r>
      <w:proofErr w:type="spellStart"/>
      <w:r w:rsidRPr="003F4A1B">
        <w:rPr>
          <w:rFonts w:ascii="Times New Roman" w:hAnsi="Times New Roman" w:cs="Times New Roman"/>
          <w:sz w:val="28"/>
          <w:szCs w:val="28"/>
        </w:rPr>
        <w:t>Пуховичского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 района (все контактные обследованы и привиты). Наименьший охват обследованиями контактных из очагов гепатита В выявлен на территории Борисовского, </w:t>
      </w:r>
      <w:proofErr w:type="spellStart"/>
      <w:r w:rsidRPr="003F4A1B">
        <w:rPr>
          <w:rFonts w:ascii="Times New Roman" w:hAnsi="Times New Roman" w:cs="Times New Roman"/>
          <w:sz w:val="28"/>
          <w:szCs w:val="28"/>
        </w:rPr>
        <w:t>Молодечненского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F4A1B">
        <w:rPr>
          <w:rFonts w:ascii="Times New Roman" w:hAnsi="Times New Roman" w:cs="Times New Roman"/>
          <w:sz w:val="28"/>
          <w:szCs w:val="28"/>
        </w:rPr>
        <w:t xml:space="preserve">и Слуцкого районов, </w:t>
      </w:r>
      <w:r w:rsidR="008F7D79" w:rsidRPr="003F4A1B">
        <w:rPr>
          <w:rFonts w:ascii="Times New Roman" w:hAnsi="Times New Roman" w:cs="Times New Roman"/>
          <w:sz w:val="28"/>
          <w:szCs w:val="28"/>
        </w:rPr>
        <w:t>вакцинацией -</w:t>
      </w:r>
      <w:r w:rsidRPr="003F4A1B">
        <w:rPr>
          <w:rFonts w:ascii="Times New Roman" w:hAnsi="Times New Roman" w:cs="Times New Roman"/>
          <w:sz w:val="28"/>
          <w:szCs w:val="28"/>
        </w:rPr>
        <w:t xml:space="preserve"> Клецкого и Минского районов и </w:t>
      </w:r>
      <w:proofErr w:type="spellStart"/>
      <w:r w:rsidRPr="003F4A1B">
        <w:rPr>
          <w:rFonts w:ascii="Times New Roman" w:hAnsi="Times New Roman" w:cs="Times New Roman"/>
          <w:sz w:val="28"/>
          <w:szCs w:val="28"/>
        </w:rPr>
        <w:t>г.Жодино</w:t>
      </w:r>
      <w:proofErr w:type="spellEnd"/>
      <w:r w:rsidRPr="003F4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таблица 1</w:t>
      </w:r>
      <w:r w:rsidRPr="003F4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A1B" w:rsidRPr="00A6355F" w:rsidRDefault="003F4A1B" w:rsidP="003F4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55F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A6355F">
        <w:rPr>
          <w:rFonts w:ascii="Times New Roman" w:hAnsi="Times New Roman" w:cs="Times New Roman"/>
          <w:sz w:val="24"/>
          <w:szCs w:val="24"/>
        </w:rPr>
        <w:t xml:space="preserve"> – Количество выявленных, обследованных и вакцинированных контактных </w:t>
      </w:r>
      <w:r w:rsidRPr="00A6355F">
        <w:rPr>
          <w:rFonts w:ascii="Times New Roman" w:hAnsi="Times New Roman" w:cs="Times New Roman"/>
          <w:sz w:val="24"/>
          <w:szCs w:val="24"/>
        </w:rPr>
        <w:br/>
        <w:t>по парентеральному вирусному гепатиту В по районам за 2020 год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1688"/>
        <w:gridCol w:w="1397"/>
        <w:gridCol w:w="1418"/>
        <w:gridCol w:w="1661"/>
        <w:gridCol w:w="4179"/>
      </w:tblGrid>
      <w:tr w:rsidR="003F4A1B" w:rsidRPr="00A6355F" w:rsidTr="003F4A1B">
        <w:trPr>
          <w:trHeight w:val="315"/>
        </w:trPr>
        <w:tc>
          <w:tcPr>
            <w:tcW w:w="1688" w:type="dxa"/>
            <w:noWrap/>
            <w:hideMark/>
          </w:tcPr>
          <w:p w:rsidR="003F4A1B" w:rsidRPr="00A6355F" w:rsidRDefault="003F4A1B" w:rsidP="00DA6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b/>
                <w:sz w:val="20"/>
                <w:szCs w:val="20"/>
              </w:rPr>
              <w:t>Районы</w:t>
            </w:r>
          </w:p>
        </w:tc>
        <w:tc>
          <w:tcPr>
            <w:tcW w:w="1397" w:type="dxa"/>
            <w:noWrap/>
            <w:hideMark/>
          </w:tcPr>
          <w:p w:rsidR="003F4A1B" w:rsidRPr="00A6355F" w:rsidRDefault="003F4A1B" w:rsidP="00DA6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DA6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Обследовано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DA6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b/>
                <w:sz w:val="20"/>
                <w:szCs w:val="20"/>
              </w:rPr>
              <w:t>Вакцинировано</w:t>
            </w:r>
          </w:p>
        </w:tc>
        <w:tc>
          <w:tcPr>
            <w:tcW w:w="4179" w:type="dxa"/>
          </w:tcPr>
          <w:p w:rsidR="003F4A1B" w:rsidRPr="00A6355F" w:rsidRDefault="003F4A1B" w:rsidP="00DA6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Березинский</w:t>
            </w:r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вакцинировано – 50%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71,4% от подлежащих, вакцинировано – 28,6%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Воложинский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Вилейский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73,3%, вакцинировано 46,67% от подлежащих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Дзержинский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вакцинировано – 66,67%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Клецкий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  <w:shd w:val="clear" w:color="auto" w:fill="auto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и вакцинировано – 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Копыльский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Крупский</w:t>
            </w:r>
          </w:p>
        </w:tc>
        <w:tc>
          <w:tcPr>
            <w:tcW w:w="1397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9" w:type="dxa"/>
            <w:shd w:val="clear" w:color="auto" w:fill="92D050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и вакцинировано 100%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Логойский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и вакцинировано 75%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Минский</w:t>
            </w:r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 100% от подлежащих, вакцинировано – 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Молодечненский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65% от подлежащих и вакцинировано 40%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Мядельский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  <w:shd w:val="clear" w:color="auto" w:fill="auto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9" w:type="dxa"/>
            <w:shd w:val="clear" w:color="auto" w:fill="auto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и вакцинировано 80%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397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1" w:type="dxa"/>
            <w:shd w:val="clear" w:color="auto" w:fill="92D050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9" w:type="dxa"/>
            <w:shd w:val="clear" w:color="auto" w:fill="92D050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и вакцинировано 100%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Слуцкий</w:t>
            </w:r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и вакцинировано 50%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Смолевичский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Солигорский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вакцинировано – 87,5%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397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Столбцовский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9" w:type="dxa"/>
            <w:shd w:val="clear" w:color="auto" w:fill="FFFFFF" w:themeFill="background1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и вакцинировано – 40%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Узденский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  <w:shd w:val="clear" w:color="auto" w:fill="FFFFFF" w:themeFill="background1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00"/>
        </w:trPr>
        <w:tc>
          <w:tcPr>
            <w:tcW w:w="168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Червенский</w:t>
            </w:r>
            <w:proofErr w:type="spellEnd"/>
          </w:p>
        </w:tc>
        <w:tc>
          <w:tcPr>
            <w:tcW w:w="1397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1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  <w:shd w:val="clear" w:color="auto" w:fill="FFFFFF" w:themeFill="background1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A1B" w:rsidRPr="00A6355F" w:rsidTr="003F4A1B">
        <w:trPr>
          <w:trHeight w:val="315"/>
        </w:trPr>
        <w:tc>
          <w:tcPr>
            <w:tcW w:w="168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г. Жодино</w:t>
            </w:r>
          </w:p>
        </w:tc>
        <w:tc>
          <w:tcPr>
            <w:tcW w:w="1397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shd w:val="clear" w:color="auto" w:fill="FFFFFF" w:themeFill="background1"/>
            <w:noWrap/>
            <w:hideMark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9" w:type="dxa"/>
            <w:shd w:val="clear" w:color="auto" w:fill="FFFFFF" w:themeFill="background1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100% от подлежащих, вакцинировано – 0%</w:t>
            </w:r>
          </w:p>
        </w:tc>
      </w:tr>
      <w:tr w:rsidR="003F4A1B" w:rsidRPr="00A6355F" w:rsidTr="003F4A1B">
        <w:trPr>
          <w:trHeight w:val="315"/>
        </w:trPr>
        <w:tc>
          <w:tcPr>
            <w:tcW w:w="1688" w:type="dxa"/>
            <w:shd w:val="clear" w:color="auto" w:fill="FFFFFF" w:themeFill="background1"/>
            <w:noWrap/>
            <w:vAlign w:val="center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397" w:type="dxa"/>
            <w:shd w:val="clear" w:color="auto" w:fill="FFFFFF" w:themeFill="background1"/>
            <w:noWrap/>
            <w:vAlign w:val="center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61" w:type="dxa"/>
            <w:shd w:val="clear" w:color="auto" w:fill="FFFFFF" w:themeFill="background1"/>
            <w:noWrap/>
            <w:vAlign w:val="center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79" w:type="dxa"/>
            <w:shd w:val="clear" w:color="auto" w:fill="FFFFFF" w:themeFill="background1"/>
            <w:vAlign w:val="center"/>
          </w:tcPr>
          <w:p w:rsidR="003F4A1B" w:rsidRPr="00A6355F" w:rsidRDefault="003F4A1B" w:rsidP="003F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5F">
              <w:rPr>
                <w:rFonts w:ascii="Times New Roman" w:hAnsi="Times New Roman" w:cs="Times New Roman"/>
                <w:sz w:val="20"/>
                <w:szCs w:val="20"/>
              </w:rPr>
              <w:t>Обследовано – 82,2%, вакцинировано – 52,47%</w:t>
            </w:r>
          </w:p>
        </w:tc>
      </w:tr>
    </w:tbl>
    <w:p w:rsidR="00980AE2" w:rsidRDefault="00980A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0AE2" w:rsidRDefault="00711C18">
      <w:pPr>
        <w:pStyle w:val="af3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приоритетными направленными в работе являются: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80AE2" w:rsidRDefault="00711C1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обеспечение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полноты обследования на маркеры ПВГ подлежащих контингентов; </w:t>
      </w:r>
    </w:p>
    <w:p w:rsidR="00980AE2" w:rsidRDefault="00711C1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вовлечение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выявленных пациентов в систему оказания медицинской помощи с целью диспансеризации и лечения;</w:t>
      </w:r>
    </w:p>
    <w:p w:rsidR="00980AE2" w:rsidRDefault="00711C1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полного комплекса профилактических и санитарно-противоэпидемических мероприятий в домашних/семейных очагах ПВГ;</w:t>
      </w:r>
    </w:p>
    <w:p w:rsidR="00980AE2" w:rsidRDefault="00711C1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эпидемиологического расследования каждого случая ПВГ, предположительно связанного с оказанием медицинской помощи, получением санитарно-гигиенических услуг, профессиональным инфицированием по месту работы. </w:t>
      </w:r>
    </w:p>
    <w:p w:rsidR="00980AE2" w:rsidRDefault="00711C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ПРОБЛЕМНО-ЦЕЛЕВОЙ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АНАЛИЗ  МОНИТОРИНГА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ПОКАЗАТЕЛЯ ЦУР 3.3.4</w:t>
      </w:r>
    </w:p>
    <w:tbl>
      <w:tblPr>
        <w:tblStyle w:val="af2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980AE2">
        <w:tc>
          <w:tcPr>
            <w:tcW w:w="3085" w:type="dxa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Проблемные аспекты</w:t>
            </w:r>
          </w:p>
          <w:p w:rsidR="00980AE2" w:rsidRDefault="00980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Причины</w:t>
            </w:r>
          </w:p>
        </w:tc>
        <w:tc>
          <w:tcPr>
            <w:tcW w:w="4394" w:type="dxa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980AE2">
        <w:tc>
          <w:tcPr>
            <w:tcW w:w="308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Регистрация случаев заболеваний в семье (внутрисемейная передача инфекции контактно-бытовым или половым путем) </w:t>
            </w:r>
          </w:p>
        </w:tc>
        <w:tc>
          <w:tcPr>
            <w:tcW w:w="283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Недостаточный уровень охвата вакцинацией против вируса гепатита В подлежащих контактных лиц </w:t>
            </w:r>
          </w:p>
        </w:tc>
        <w:tc>
          <w:tcPr>
            <w:tcW w:w="4394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профилактических мероприятий в очагах инфекции по достижению высокого уровня охвата обследованием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вакцинацией против вируса гепатита В контактных лиц.  Информационно-образовательная работа в очагах инфекции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формированию безопасного поведения в семье, соблюдению правил личной гигиены.</w:t>
            </w:r>
          </w:p>
        </w:tc>
      </w:tr>
      <w:tr w:rsidR="00980AE2">
        <w:tc>
          <w:tcPr>
            <w:tcW w:w="308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Регистрация случаев вертикальной передачи вируса гепатита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матери ребенку</w:t>
            </w:r>
          </w:p>
        </w:tc>
        <w:tc>
          <w:tcPr>
            <w:tcW w:w="283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Нарушение схемы вакцинации. Высокая активность инфекционного процесса у матери</w:t>
            </w:r>
          </w:p>
        </w:tc>
        <w:tc>
          <w:tcPr>
            <w:tcW w:w="4394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Соблюдение клинических протоколов ведения беременных женщин, имеющих вирусный гепатит В, полнота обследования беременных женщин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регламентируемые сроки, соблюдение схем вакцинации ВГВ-экспонированных новорожденных</w:t>
            </w:r>
          </w:p>
        </w:tc>
      </w:tr>
      <w:tr w:rsidR="00980AE2">
        <w:tc>
          <w:tcPr>
            <w:tcW w:w="308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Регистрация случаев микст-инфицирования (развитие гепатита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фоне гепатита С)</w:t>
            </w:r>
          </w:p>
        </w:tc>
        <w:tc>
          <w:tcPr>
            <w:tcW w:w="283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охвата вакцинацией против вируса гепатита В подлежащих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гепатитом С</w:t>
            </w:r>
          </w:p>
        </w:tc>
        <w:tc>
          <w:tcPr>
            <w:tcW w:w="4394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профилактических прививок против вируса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гепатита В пациентам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гепатитом С</w:t>
            </w:r>
          </w:p>
        </w:tc>
      </w:tr>
      <w:tr w:rsidR="00980AE2">
        <w:tc>
          <w:tcPr>
            <w:tcW w:w="308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Предупреждение случаев инфицирования гепатитом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при оказании медицинской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и санитарно-гигиенических услуг</w:t>
            </w:r>
          </w:p>
        </w:tc>
        <w:tc>
          <w:tcPr>
            <w:tcW w:w="283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Предупреждение и пресечение нарушений требований санитарно-эпидемиологического законодательства</w:t>
            </w:r>
          </w:p>
        </w:tc>
        <w:tc>
          <w:tcPr>
            <w:tcW w:w="4394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Высоко-эффективное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функционирование системы инфекционного контроля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организациях здравоохранения, реализация комплекса профилактических, дезинфекционных, санитарно-противоэпидемических мероприятий по предупреждению инфицирования в ходе оказания санитарно-гигиенических услуг</w:t>
            </w:r>
          </w:p>
        </w:tc>
      </w:tr>
      <w:tr w:rsidR="00980AE2">
        <w:tc>
          <w:tcPr>
            <w:tcW w:w="308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отдаленных последствий заболевания (цирроза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рака печени)</w:t>
            </w:r>
          </w:p>
        </w:tc>
        <w:tc>
          <w:tcPr>
            <w:tcW w:w="283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Поздняя диагностика заболевания. Отсутствие лечение. </w:t>
            </w:r>
          </w:p>
        </w:tc>
        <w:tc>
          <w:tcPr>
            <w:tcW w:w="4394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населения к тестированию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гепатиты. Формирование приверженности к диспансерному наблюдению и лечению.</w:t>
            </w:r>
          </w:p>
        </w:tc>
      </w:tr>
      <w:tr w:rsidR="00980AE2">
        <w:tc>
          <w:tcPr>
            <w:tcW w:w="308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уровень знаний населения по проблеме</w:t>
            </w:r>
          </w:p>
        </w:tc>
        <w:tc>
          <w:tcPr>
            <w:tcW w:w="2835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обучающих программ </w:t>
            </w:r>
          </w:p>
        </w:tc>
        <w:tc>
          <w:tcPr>
            <w:tcW w:w="4394" w:type="dxa"/>
          </w:tcPr>
          <w:p w:rsidR="00980AE2" w:rsidRDefault="00711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обучающих программ. Проведение информационных кампаний среди населения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проблеме.</w:t>
            </w:r>
          </w:p>
        </w:tc>
      </w:tr>
    </w:tbl>
    <w:p w:rsidR="00980AE2" w:rsidRDefault="0098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  <w:sectPr w:rsidR="00980AE2">
          <w:headerReference w:type="default" r:id="rId15"/>
          <w:headerReference w:type="first" r:id="rId16"/>
          <w:pgSz w:w="11906" w:h="16838"/>
          <w:pgMar w:top="1134" w:right="707" w:bottom="1134" w:left="851" w:header="284" w:footer="284" w:gutter="0"/>
          <w:cols w:space="708"/>
          <w:titlePg/>
          <w:docGrid w:linePitch="360"/>
        </w:sectPr>
      </w:pPr>
    </w:p>
    <w:p w:rsidR="00980AE2" w:rsidRPr="008F7D79" w:rsidRDefault="00711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индикаторы по достижению показателя ЦУР 3.3.4.  </w:t>
      </w:r>
    </w:p>
    <w:p w:rsidR="00980AE2" w:rsidRDefault="00711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79">
        <w:rPr>
          <w:rFonts w:ascii="Times New Roman" w:hAnsi="Times New Roman" w:cs="Times New Roman"/>
          <w:b/>
          <w:sz w:val="28"/>
          <w:szCs w:val="28"/>
        </w:rPr>
        <w:t>«Заболеваемость гепатитом В на 100 000 человек»</w:t>
      </w:r>
    </w:p>
    <w:p w:rsidR="00980AE2" w:rsidRDefault="0098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92"/>
        <w:gridCol w:w="1193"/>
        <w:gridCol w:w="1345"/>
        <w:gridCol w:w="691"/>
        <w:gridCol w:w="8"/>
        <w:gridCol w:w="1185"/>
        <w:gridCol w:w="1220"/>
        <w:gridCol w:w="756"/>
        <w:gridCol w:w="1488"/>
        <w:gridCol w:w="1734"/>
        <w:gridCol w:w="2019"/>
      </w:tblGrid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237" w:type="dxa"/>
            <w:gridSpan w:val="4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3161" w:type="dxa"/>
            <w:gridSpan w:val="3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 старше</w:t>
            </w:r>
          </w:p>
        </w:tc>
        <w:tc>
          <w:tcPr>
            <w:tcW w:w="5241" w:type="dxa"/>
            <w:gridSpan w:val="3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80AE2">
        <w:trPr>
          <w:trHeight w:val="276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  <w:tc>
          <w:tcPr>
            <w:tcW w:w="691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  <w:tc>
          <w:tcPr>
            <w:tcW w:w="756" w:type="dxa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пола</w:t>
            </w:r>
          </w:p>
        </w:tc>
      </w:tr>
      <w:tr w:rsidR="00980AE2">
        <w:trPr>
          <w:trHeight w:val="137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980AE2">
        <w:trPr>
          <w:trHeight w:val="174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2,35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31,01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26,82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 w:rsidP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 w:rsidP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 w:rsidP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4,22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36,24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37,37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30,76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4,22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29,07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33,02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27,73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2,67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34,01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31,94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15,94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16,95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13,07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13,59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1,36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15,66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11,95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13,74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 w:rsidP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 w:rsidP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 w:rsidP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11,94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15,31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11,99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13,26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 w:rsidP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04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 w:rsidP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04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 w:rsidP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 w:rsidR="0004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6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1" w:type="dxa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</w:tcPr>
          <w:p w:rsidR="00980AE2" w:rsidRDefault="000477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16,32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80AE2" w:rsidRDefault="00711C18" w:rsidP="000477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</w:t>
            </w:r>
            <w:r w:rsidR="000477D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56" w:type="dxa"/>
            <w:vAlign w:val="center"/>
          </w:tcPr>
          <w:p w:rsidR="00980AE2" w:rsidRDefault="00711C18" w:rsidP="000477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0477D2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 w:rsidP="0004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04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80AE2">
        <w:trPr>
          <w:trHeight w:val="300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80AE2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980AE2" w:rsidRDefault="0098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980AE2" w:rsidRDefault="0071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BF553C" w:rsidTr="000477D2">
        <w:trPr>
          <w:trHeight w:val="36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F553C" w:rsidRPr="00BF553C" w:rsidRDefault="00BF553C" w:rsidP="00B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BF553C">
        <w:trPr>
          <w:trHeight w:val="300"/>
        </w:trPr>
        <w:tc>
          <w:tcPr>
            <w:tcW w:w="988" w:type="dxa"/>
            <w:vMerge/>
            <w:shd w:val="clear" w:color="auto" w:fill="auto"/>
            <w:vAlign w:val="center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BF553C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bottom"/>
          </w:tcPr>
          <w:p w:rsidR="00BF553C" w:rsidRPr="000477D2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F553C" w:rsidRPr="000477D2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BF553C" w:rsidRPr="000477D2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BF553C" w:rsidRPr="000477D2" w:rsidRDefault="0095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BF553C" w:rsidRPr="000477D2" w:rsidRDefault="0095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BF553C" w:rsidRPr="000477D2" w:rsidRDefault="00BF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</w:tr>
    </w:tbl>
    <w:p w:rsidR="00980AE2" w:rsidRDefault="00711C18">
      <w:pPr>
        <w:tabs>
          <w:tab w:val="left" w:pos="264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AE2" w:rsidRDefault="00711C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2D">
        <w:rPr>
          <w:rFonts w:ascii="Times New Roman" w:hAnsi="Times New Roman" w:cs="Times New Roman"/>
          <w:b/>
          <w:sz w:val="28"/>
          <w:szCs w:val="28"/>
        </w:rPr>
        <w:t>Косвенные-индикаторы (дополнительные) по достижению показателя ЦУР 3.3.4. «Заболеваемость гепатитом В на 100 000 человек»:</w:t>
      </w:r>
    </w:p>
    <w:p w:rsidR="00980AE2" w:rsidRDefault="00980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4850" w:type="dxa"/>
        <w:tblLayout w:type="fixed"/>
        <w:tblLook w:val="04A0" w:firstRow="1" w:lastRow="0" w:firstColumn="1" w:lastColumn="0" w:noHBand="0" w:noVBand="1"/>
      </w:tblPr>
      <w:tblGrid>
        <w:gridCol w:w="8472"/>
        <w:gridCol w:w="6378"/>
      </w:tblGrid>
      <w:tr w:rsidR="00980AE2">
        <w:tc>
          <w:tcPr>
            <w:tcW w:w="8472" w:type="dxa"/>
          </w:tcPr>
          <w:p w:rsidR="00980AE2" w:rsidRDefault="00711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378" w:type="dxa"/>
          </w:tcPr>
          <w:p w:rsidR="00980AE2" w:rsidRDefault="00651B2D">
            <w:pPr>
              <w:pStyle w:val="af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охвата обследованием контактных лиц в очагах ВГВ-инфекции и микст-инфекции (целевой </w:t>
            </w:r>
            <w:r w:rsidR="00651B2D">
              <w:rPr>
                <w:rFonts w:ascii="Times New Roman" w:hAnsi="Times New Roman" w:cs="Times New Roman"/>
                <w:sz w:val="28"/>
                <w:szCs w:val="28"/>
              </w:rPr>
              <w:t>показатель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 менее 90% от подлежащих) </w:t>
            </w:r>
          </w:p>
        </w:tc>
        <w:tc>
          <w:tcPr>
            <w:tcW w:w="6378" w:type="dxa"/>
          </w:tcPr>
          <w:p w:rsidR="00980AE2" w:rsidRDefault="0065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pStyle w:val="af3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отказов от обследования среди контактных лиц в очагах ВГВ-инфекции (целевой показатель не более 5% от подлежащих)</w:t>
            </w:r>
          </w:p>
        </w:tc>
        <w:tc>
          <w:tcPr>
            <w:tcW w:w="6378" w:type="dxa"/>
          </w:tcPr>
          <w:p w:rsidR="00980AE2" w:rsidRDefault="0065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охвата вакцинацией против вирусного гепатита В контактных лиц в очагах ВГВ-инфекции (целевой показатель -  не менее 90% от подлежащих); </w:t>
            </w:r>
          </w:p>
        </w:tc>
        <w:tc>
          <w:tcPr>
            <w:tcW w:w="6378" w:type="dxa"/>
          </w:tcPr>
          <w:p w:rsidR="00651B2D" w:rsidRDefault="00651B2D" w:rsidP="0065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E2" w:rsidRPr="00651B2D" w:rsidRDefault="00651B2D" w:rsidP="0065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52,47% от подлежащих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отказов от вакцинации среди контактных лиц в очагах ВГВ-инфекции (целевой показатель не более 5% от подлежащих)</w:t>
            </w:r>
          </w:p>
        </w:tc>
        <w:tc>
          <w:tcPr>
            <w:tcW w:w="6378" w:type="dxa"/>
          </w:tcPr>
          <w:p w:rsidR="00980AE2" w:rsidRDefault="0065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контактно-бытовой внутрисемейной передачи ВГВ-инфекции</w:t>
            </w:r>
          </w:p>
        </w:tc>
        <w:tc>
          <w:tcPr>
            <w:tcW w:w="6378" w:type="dxa"/>
          </w:tcPr>
          <w:p w:rsidR="00980AE2" w:rsidRDefault="00C860EB" w:rsidP="0065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1,12 % (1 случай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полового пути передачи ВГВ-инфекции </w:t>
            </w:r>
          </w:p>
        </w:tc>
        <w:tc>
          <w:tcPr>
            <w:tcW w:w="6378" w:type="dxa"/>
          </w:tcPr>
          <w:p w:rsidR="00980AE2" w:rsidRDefault="00C8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25,84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парентерального пути передачи ВГВ-инфекции при потреблении наркотических веществ</w:t>
            </w:r>
          </w:p>
        </w:tc>
        <w:tc>
          <w:tcPr>
            <w:tcW w:w="6378" w:type="dxa"/>
          </w:tcPr>
          <w:p w:rsidR="00980AE2" w:rsidRDefault="00C8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инфицирования при проведении немедицинских манипуляций (тату, пирсинг, маникюр и т.п.)</w:t>
            </w:r>
          </w:p>
        </w:tc>
        <w:tc>
          <w:tcPr>
            <w:tcW w:w="6378" w:type="dxa"/>
          </w:tcPr>
          <w:p w:rsidR="00980AE2" w:rsidRDefault="00C86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pStyle w:val="af3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число случаев профессионального инфицирования медицинских работников вирусом гепатита В (целевой показатель – отсутствие регистрации случаев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инфицирования вирусным гепатитом В медицинских работников)</w:t>
            </w:r>
          </w:p>
        </w:tc>
        <w:tc>
          <w:tcPr>
            <w:tcW w:w="6378" w:type="dxa"/>
          </w:tcPr>
          <w:p w:rsidR="00980AE2" w:rsidRDefault="00980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E2" w:rsidRDefault="00980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E2" w:rsidRDefault="00980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E2" w:rsidRDefault="00711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pStyle w:val="af3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Абсолютное число случаев вертикальной передачи гепатита В от матери ребенку</w:t>
            </w:r>
          </w:p>
        </w:tc>
        <w:tc>
          <w:tcPr>
            <w:tcW w:w="6378" w:type="dxa"/>
          </w:tcPr>
          <w:p w:rsidR="00980AE2" w:rsidRDefault="00980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E2" w:rsidRDefault="00711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AE2">
        <w:tc>
          <w:tcPr>
            <w:tcW w:w="8472" w:type="dxa"/>
          </w:tcPr>
          <w:p w:rsidR="00980AE2" w:rsidRDefault="00711C1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серопозитивности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маркеры гепатита В среди всего населения,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среди</w:t>
            </w:r>
          </w:p>
          <w:p w:rsidR="00980AE2" w:rsidRDefault="00711C1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беременных</w:t>
            </w:r>
            <w:proofErr w:type="gramEnd"/>
          </w:p>
          <w:p w:rsidR="00980AE2" w:rsidRDefault="00711C1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доноров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крови и ее компонентов</w:t>
            </w:r>
          </w:p>
          <w:p w:rsidR="00980AE2" w:rsidRDefault="00711C1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  <w:p w:rsidR="00980AE2" w:rsidRDefault="00711C1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находящихся в МЛС</w:t>
            </w:r>
          </w:p>
          <w:p w:rsidR="00980AE2" w:rsidRDefault="00711C1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наркодиспансеров</w:t>
            </w:r>
            <w:proofErr w:type="spellEnd"/>
          </w:p>
          <w:p w:rsidR="00980AE2" w:rsidRDefault="00711C18">
            <w:pPr>
              <w:pStyle w:val="af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пациентов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ВИЧ-инфекцией</w:t>
            </w:r>
          </w:p>
        </w:tc>
        <w:tc>
          <w:tcPr>
            <w:tcW w:w="6378" w:type="dxa"/>
          </w:tcPr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0AE2" w:rsidRDefault="00980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6,82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0AE2" w:rsidRDefault="00445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  <w:bookmarkStart w:id="0" w:name="_GoBack"/>
            <w:bookmarkEnd w:id="0"/>
            <w:r w:rsidR="00711C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80AE2" w:rsidRDefault="00980A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980AE2">
          <w:pgSz w:w="16838" w:h="11906" w:orient="landscape"/>
          <w:pgMar w:top="850" w:right="1134" w:bottom="709" w:left="1134" w:header="284" w:footer="283" w:gutter="0"/>
          <w:cols w:space="0"/>
          <w:titlePg/>
          <w:docGrid w:linePitch="360"/>
        </w:sectPr>
      </w:pPr>
    </w:p>
    <w:p w:rsidR="00980AE2" w:rsidRDefault="00980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0AE2">
      <w:pgSz w:w="11906" w:h="16838"/>
      <w:pgMar w:top="1134" w:right="707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1D" w:rsidRDefault="009F3F1D">
      <w:pPr>
        <w:spacing w:after="0" w:line="240" w:lineRule="auto"/>
      </w:pPr>
      <w:r>
        <w:separator/>
      </w:r>
    </w:p>
  </w:endnote>
  <w:endnote w:type="continuationSeparator" w:id="0">
    <w:p w:rsidR="009F3F1D" w:rsidRDefault="009F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Light">
    <w:altName w:val="Arial"/>
    <w:charset w:val="00"/>
    <w:family w:val="swiss"/>
    <w:pitch w:val="default"/>
    <w:sig w:usb0="00000000" w:usb1="00000000" w:usb2="00000000" w:usb3="00000000" w:csb0="000001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1D" w:rsidRDefault="009F3F1D">
      <w:pPr>
        <w:spacing w:after="0" w:line="240" w:lineRule="auto"/>
      </w:pPr>
      <w:r>
        <w:separator/>
      </w:r>
    </w:p>
  </w:footnote>
  <w:footnote w:type="continuationSeparator" w:id="0">
    <w:p w:rsidR="009F3F1D" w:rsidRDefault="009F3F1D">
      <w:pPr>
        <w:spacing w:after="0" w:line="240" w:lineRule="auto"/>
      </w:pPr>
      <w:r>
        <w:continuationSeparator/>
      </w:r>
    </w:p>
  </w:footnote>
  <w:footnote w:id="1">
    <w:p w:rsidR="009F3F1D" w:rsidRDefault="009F3F1D">
      <w:pPr>
        <w:spacing w:line="240" w:lineRule="auto"/>
        <w:ind w:right="9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0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Возбудитель ВГВ 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ДНК-геномный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гепатотропный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вирус, относящийся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  с</w:t>
      </w:r>
      <w:r>
        <w:rPr>
          <w:rFonts w:ascii="Times New Roman" w:hAnsi="Times New Roman" w:cs="Times New Roman"/>
          <w:sz w:val="18"/>
          <w:szCs w:val="18"/>
        </w:rPr>
        <w:t>емейству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>Hepadnaviridae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, роду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>Orthohepadnavirus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.. ДНК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ВГВ  способна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встраиваться (интегрироваться) в клеточный геном человека и сохраняться в нем на протяжении многих лет. О</w:t>
      </w:r>
      <w:r>
        <w:rPr>
          <w:rFonts w:ascii="Times New Roman" w:hAnsi="Times New Roman" w:cs="Times New Roman"/>
          <w:sz w:val="18"/>
          <w:szCs w:val="18"/>
        </w:rPr>
        <w:t xml:space="preserve">бладает выраженной мутагенностью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канцерогенностью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Вирус </w:t>
      </w:r>
      <w:proofErr w:type="gramStart"/>
      <w:r>
        <w:rPr>
          <w:rFonts w:ascii="Times New Roman" w:hAnsi="Times New Roman" w:cs="Times New Roman"/>
          <w:sz w:val="18"/>
          <w:szCs w:val="18"/>
        </w:rPr>
        <w:t>высоко  устойчив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во внешней среде: сохраняет жизнеспособность в условиях комнатной температуры в течение 3–6 месяцев, в замороженных компонентах крови сохраняется годами. Восприимчивость населения к вирусу гепатита В высокая, инфицирующая доза низкая, заражение возможно при инокуляции 0,0005мл</w:t>
      </w:r>
      <w:proofErr w:type="gramStart"/>
      <w:r>
        <w:rPr>
          <w:rFonts w:ascii="Times New Roman" w:hAnsi="Times New Roman" w:cs="Times New Roman"/>
          <w:sz w:val="18"/>
          <w:szCs w:val="18"/>
        </w:rPr>
        <w:t>. крови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>
        <w:t xml:space="preserve"> </w:t>
      </w:r>
    </w:p>
    <w:p w:rsidR="009F3F1D" w:rsidRDefault="009F3F1D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106167"/>
    </w:sdtPr>
    <w:sdtContent>
      <w:p w:rsidR="009F3F1D" w:rsidRDefault="009F3F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1B">
          <w:rPr>
            <w:noProof/>
          </w:rPr>
          <w:t>17</w:t>
        </w:r>
        <w:r>
          <w:fldChar w:fldCharType="end"/>
        </w:r>
      </w:p>
    </w:sdtContent>
  </w:sdt>
  <w:p w:rsidR="009F3F1D" w:rsidRDefault="009F3F1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067591"/>
    </w:sdtPr>
    <w:sdtContent>
      <w:p w:rsidR="009F3F1D" w:rsidRDefault="009F3F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1B">
          <w:rPr>
            <w:noProof/>
          </w:rPr>
          <w:t>18</w:t>
        </w:r>
        <w:r>
          <w:fldChar w:fldCharType="end"/>
        </w:r>
      </w:p>
    </w:sdtContent>
  </w:sdt>
  <w:p w:rsidR="009F3F1D" w:rsidRDefault="009F3F1D">
    <w:pPr>
      <w:pStyle w:val="a9"/>
      <w:tabs>
        <w:tab w:val="clear" w:pos="4677"/>
        <w:tab w:val="clear" w:pos="9355"/>
        <w:tab w:val="left" w:pos="80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17BC"/>
    <w:multiLevelType w:val="multilevel"/>
    <w:tmpl w:val="0A4B17B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A63D21"/>
    <w:multiLevelType w:val="multilevel"/>
    <w:tmpl w:val="32A63D21"/>
    <w:lvl w:ilvl="0">
      <w:start w:val="3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44E70728"/>
    <w:multiLevelType w:val="multilevel"/>
    <w:tmpl w:val="44E70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5E5ED2"/>
    <w:multiLevelType w:val="multilevel"/>
    <w:tmpl w:val="455E5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DED"/>
    <w:multiLevelType w:val="multilevel"/>
    <w:tmpl w:val="4AD05DED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3D786B"/>
    <w:multiLevelType w:val="multilevel"/>
    <w:tmpl w:val="6A3D786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02"/>
    <w:rsid w:val="00001129"/>
    <w:rsid w:val="000278B2"/>
    <w:rsid w:val="000300DE"/>
    <w:rsid w:val="00030B2D"/>
    <w:rsid w:val="00030E94"/>
    <w:rsid w:val="00031155"/>
    <w:rsid w:val="0003366C"/>
    <w:rsid w:val="000336E6"/>
    <w:rsid w:val="0003725A"/>
    <w:rsid w:val="00042AC9"/>
    <w:rsid w:val="00045D1D"/>
    <w:rsid w:val="000477D2"/>
    <w:rsid w:val="000518A0"/>
    <w:rsid w:val="000547EC"/>
    <w:rsid w:val="000552AC"/>
    <w:rsid w:val="0007332F"/>
    <w:rsid w:val="00074602"/>
    <w:rsid w:val="00074F1C"/>
    <w:rsid w:val="000810CD"/>
    <w:rsid w:val="0009381C"/>
    <w:rsid w:val="0009411A"/>
    <w:rsid w:val="000951B4"/>
    <w:rsid w:val="000A542F"/>
    <w:rsid w:val="000B5C63"/>
    <w:rsid w:val="000C70C5"/>
    <w:rsid w:val="000D1C90"/>
    <w:rsid w:val="000D2741"/>
    <w:rsid w:val="000E1879"/>
    <w:rsid w:val="000F49B4"/>
    <w:rsid w:val="000F632D"/>
    <w:rsid w:val="00100374"/>
    <w:rsid w:val="00100E0A"/>
    <w:rsid w:val="00101198"/>
    <w:rsid w:val="00106051"/>
    <w:rsid w:val="00112C3B"/>
    <w:rsid w:val="001153AF"/>
    <w:rsid w:val="00115812"/>
    <w:rsid w:val="00122269"/>
    <w:rsid w:val="00131D46"/>
    <w:rsid w:val="0014661C"/>
    <w:rsid w:val="001502DA"/>
    <w:rsid w:val="0015578E"/>
    <w:rsid w:val="001640BD"/>
    <w:rsid w:val="001733A3"/>
    <w:rsid w:val="00173DEF"/>
    <w:rsid w:val="0017549E"/>
    <w:rsid w:val="00182471"/>
    <w:rsid w:val="00182562"/>
    <w:rsid w:val="001829CC"/>
    <w:rsid w:val="00183813"/>
    <w:rsid w:val="001B268D"/>
    <w:rsid w:val="001B4B85"/>
    <w:rsid w:val="001B6CA5"/>
    <w:rsid w:val="001B71B5"/>
    <w:rsid w:val="001B74B1"/>
    <w:rsid w:val="001C11C6"/>
    <w:rsid w:val="001C688B"/>
    <w:rsid w:val="001D4E31"/>
    <w:rsid w:val="001D6F19"/>
    <w:rsid w:val="001E3B3C"/>
    <w:rsid w:val="001E5539"/>
    <w:rsid w:val="001F309B"/>
    <w:rsid w:val="001F50F2"/>
    <w:rsid w:val="001F77D8"/>
    <w:rsid w:val="00200B05"/>
    <w:rsid w:val="00200E39"/>
    <w:rsid w:val="0021190D"/>
    <w:rsid w:val="00220833"/>
    <w:rsid w:val="00222DDC"/>
    <w:rsid w:val="00224E3F"/>
    <w:rsid w:val="0022697C"/>
    <w:rsid w:val="002427E8"/>
    <w:rsid w:val="002440FC"/>
    <w:rsid w:val="00244F8B"/>
    <w:rsid w:val="0025527C"/>
    <w:rsid w:val="00266C6F"/>
    <w:rsid w:val="00271350"/>
    <w:rsid w:val="00271526"/>
    <w:rsid w:val="00275EAD"/>
    <w:rsid w:val="00276717"/>
    <w:rsid w:val="002823FB"/>
    <w:rsid w:val="0028605F"/>
    <w:rsid w:val="002A352A"/>
    <w:rsid w:val="002A6EED"/>
    <w:rsid w:val="002B429B"/>
    <w:rsid w:val="002B5835"/>
    <w:rsid w:val="002C1949"/>
    <w:rsid w:val="002D15F1"/>
    <w:rsid w:val="002D5F02"/>
    <w:rsid w:val="002E0B54"/>
    <w:rsid w:val="002F6142"/>
    <w:rsid w:val="00302475"/>
    <w:rsid w:val="00311745"/>
    <w:rsid w:val="00311AD2"/>
    <w:rsid w:val="0031549A"/>
    <w:rsid w:val="0032274A"/>
    <w:rsid w:val="0033098A"/>
    <w:rsid w:val="00336482"/>
    <w:rsid w:val="00336830"/>
    <w:rsid w:val="00342751"/>
    <w:rsid w:val="00342DBA"/>
    <w:rsid w:val="003436EE"/>
    <w:rsid w:val="00360527"/>
    <w:rsid w:val="00385D9F"/>
    <w:rsid w:val="003A24FC"/>
    <w:rsid w:val="003C162D"/>
    <w:rsid w:val="003D1501"/>
    <w:rsid w:val="003D4B76"/>
    <w:rsid w:val="003E0C23"/>
    <w:rsid w:val="003F4A1B"/>
    <w:rsid w:val="00410084"/>
    <w:rsid w:val="00415743"/>
    <w:rsid w:val="00420DD4"/>
    <w:rsid w:val="00422957"/>
    <w:rsid w:val="004239EA"/>
    <w:rsid w:val="004252B0"/>
    <w:rsid w:val="00445D1B"/>
    <w:rsid w:val="00445D66"/>
    <w:rsid w:val="00450C29"/>
    <w:rsid w:val="0045248E"/>
    <w:rsid w:val="00452682"/>
    <w:rsid w:val="00452C12"/>
    <w:rsid w:val="00456A75"/>
    <w:rsid w:val="00464BDB"/>
    <w:rsid w:val="00466C8D"/>
    <w:rsid w:val="00476070"/>
    <w:rsid w:val="00477F0C"/>
    <w:rsid w:val="00485B92"/>
    <w:rsid w:val="00487498"/>
    <w:rsid w:val="00493933"/>
    <w:rsid w:val="00493EC6"/>
    <w:rsid w:val="004A0440"/>
    <w:rsid w:val="004A4DAD"/>
    <w:rsid w:val="004A70D0"/>
    <w:rsid w:val="004A7588"/>
    <w:rsid w:val="004B07C0"/>
    <w:rsid w:val="004B16FB"/>
    <w:rsid w:val="004B561E"/>
    <w:rsid w:val="004C3439"/>
    <w:rsid w:val="004C771D"/>
    <w:rsid w:val="004D0704"/>
    <w:rsid w:val="004D2821"/>
    <w:rsid w:val="004E325C"/>
    <w:rsid w:val="004F1649"/>
    <w:rsid w:val="004F3610"/>
    <w:rsid w:val="00505635"/>
    <w:rsid w:val="00506339"/>
    <w:rsid w:val="00510C30"/>
    <w:rsid w:val="00533830"/>
    <w:rsid w:val="00534802"/>
    <w:rsid w:val="00536592"/>
    <w:rsid w:val="005377C0"/>
    <w:rsid w:val="00540AF6"/>
    <w:rsid w:val="00542422"/>
    <w:rsid w:val="00543B02"/>
    <w:rsid w:val="00546827"/>
    <w:rsid w:val="00554EF3"/>
    <w:rsid w:val="00566661"/>
    <w:rsid w:val="00577CDF"/>
    <w:rsid w:val="005873F2"/>
    <w:rsid w:val="00595230"/>
    <w:rsid w:val="00595E86"/>
    <w:rsid w:val="005A4B19"/>
    <w:rsid w:val="005B0FB3"/>
    <w:rsid w:val="005B3761"/>
    <w:rsid w:val="005D60EF"/>
    <w:rsid w:val="005E51E0"/>
    <w:rsid w:val="005F1C59"/>
    <w:rsid w:val="006016CE"/>
    <w:rsid w:val="00607069"/>
    <w:rsid w:val="006106FB"/>
    <w:rsid w:val="006110CE"/>
    <w:rsid w:val="0061686B"/>
    <w:rsid w:val="006208BE"/>
    <w:rsid w:val="006213CF"/>
    <w:rsid w:val="006348CE"/>
    <w:rsid w:val="006349AB"/>
    <w:rsid w:val="00634E21"/>
    <w:rsid w:val="006420C1"/>
    <w:rsid w:val="00651B2D"/>
    <w:rsid w:val="0065253A"/>
    <w:rsid w:val="00657CA5"/>
    <w:rsid w:val="00660EDA"/>
    <w:rsid w:val="00663D2F"/>
    <w:rsid w:val="0067504C"/>
    <w:rsid w:val="0067777F"/>
    <w:rsid w:val="00677DC7"/>
    <w:rsid w:val="00686C0E"/>
    <w:rsid w:val="006A4430"/>
    <w:rsid w:val="006B28BC"/>
    <w:rsid w:val="006B575C"/>
    <w:rsid w:val="006D3608"/>
    <w:rsid w:val="006E2937"/>
    <w:rsid w:val="0070409D"/>
    <w:rsid w:val="0070659A"/>
    <w:rsid w:val="00711C18"/>
    <w:rsid w:val="00717748"/>
    <w:rsid w:val="0072017E"/>
    <w:rsid w:val="00725524"/>
    <w:rsid w:val="00731306"/>
    <w:rsid w:val="0074070C"/>
    <w:rsid w:val="0074194A"/>
    <w:rsid w:val="00747720"/>
    <w:rsid w:val="00751DA5"/>
    <w:rsid w:val="00752CCA"/>
    <w:rsid w:val="007557B9"/>
    <w:rsid w:val="00764CB4"/>
    <w:rsid w:val="0077220C"/>
    <w:rsid w:val="007724E9"/>
    <w:rsid w:val="007773EE"/>
    <w:rsid w:val="00793AB0"/>
    <w:rsid w:val="00793ED7"/>
    <w:rsid w:val="00794C50"/>
    <w:rsid w:val="00795232"/>
    <w:rsid w:val="00797727"/>
    <w:rsid w:val="007A2D46"/>
    <w:rsid w:val="007A651E"/>
    <w:rsid w:val="007A69B6"/>
    <w:rsid w:val="007C6BB6"/>
    <w:rsid w:val="007D0E41"/>
    <w:rsid w:val="007D29F3"/>
    <w:rsid w:val="007D3929"/>
    <w:rsid w:val="007D484F"/>
    <w:rsid w:val="007D554C"/>
    <w:rsid w:val="007E2B2E"/>
    <w:rsid w:val="007F30DD"/>
    <w:rsid w:val="00802B6F"/>
    <w:rsid w:val="0080660E"/>
    <w:rsid w:val="0081544E"/>
    <w:rsid w:val="008206F0"/>
    <w:rsid w:val="008241C7"/>
    <w:rsid w:val="00826E5F"/>
    <w:rsid w:val="008270CA"/>
    <w:rsid w:val="00832644"/>
    <w:rsid w:val="00841BA9"/>
    <w:rsid w:val="008434CD"/>
    <w:rsid w:val="008535C3"/>
    <w:rsid w:val="00863C93"/>
    <w:rsid w:val="00864472"/>
    <w:rsid w:val="0088402C"/>
    <w:rsid w:val="008849BB"/>
    <w:rsid w:val="00892704"/>
    <w:rsid w:val="00894F03"/>
    <w:rsid w:val="008959C7"/>
    <w:rsid w:val="00897E23"/>
    <w:rsid w:val="008A4123"/>
    <w:rsid w:val="008A52F1"/>
    <w:rsid w:val="008C15B5"/>
    <w:rsid w:val="008C690A"/>
    <w:rsid w:val="008C707C"/>
    <w:rsid w:val="008D37D3"/>
    <w:rsid w:val="008E37CC"/>
    <w:rsid w:val="008F6AD9"/>
    <w:rsid w:val="008F75E3"/>
    <w:rsid w:val="008F7D79"/>
    <w:rsid w:val="00904166"/>
    <w:rsid w:val="00904E22"/>
    <w:rsid w:val="009119F6"/>
    <w:rsid w:val="00913D38"/>
    <w:rsid w:val="0091700D"/>
    <w:rsid w:val="009273D7"/>
    <w:rsid w:val="00930E4C"/>
    <w:rsid w:val="00941CCC"/>
    <w:rsid w:val="0095110B"/>
    <w:rsid w:val="0095476E"/>
    <w:rsid w:val="00960B28"/>
    <w:rsid w:val="00961E95"/>
    <w:rsid w:val="00971184"/>
    <w:rsid w:val="009711DF"/>
    <w:rsid w:val="00974E61"/>
    <w:rsid w:val="009763A7"/>
    <w:rsid w:val="00980AE2"/>
    <w:rsid w:val="0098479D"/>
    <w:rsid w:val="00991F9A"/>
    <w:rsid w:val="00993B43"/>
    <w:rsid w:val="009966C0"/>
    <w:rsid w:val="009A1168"/>
    <w:rsid w:val="009B0769"/>
    <w:rsid w:val="009B2B69"/>
    <w:rsid w:val="009C40B9"/>
    <w:rsid w:val="009D247F"/>
    <w:rsid w:val="009D7443"/>
    <w:rsid w:val="009F3F1D"/>
    <w:rsid w:val="00A01F75"/>
    <w:rsid w:val="00A03FDA"/>
    <w:rsid w:val="00A0637C"/>
    <w:rsid w:val="00A11B69"/>
    <w:rsid w:val="00A21296"/>
    <w:rsid w:val="00A4255E"/>
    <w:rsid w:val="00A43597"/>
    <w:rsid w:val="00A46FF9"/>
    <w:rsid w:val="00A534BD"/>
    <w:rsid w:val="00A536E2"/>
    <w:rsid w:val="00A54558"/>
    <w:rsid w:val="00A56F97"/>
    <w:rsid w:val="00A61DF5"/>
    <w:rsid w:val="00A6326D"/>
    <w:rsid w:val="00A64C9D"/>
    <w:rsid w:val="00A65FD5"/>
    <w:rsid w:val="00A80C85"/>
    <w:rsid w:val="00A8156B"/>
    <w:rsid w:val="00A8783B"/>
    <w:rsid w:val="00A91F39"/>
    <w:rsid w:val="00A945D2"/>
    <w:rsid w:val="00A96C76"/>
    <w:rsid w:val="00AA5603"/>
    <w:rsid w:val="00AB7B04"/>
    <w:rsid w:val="00AC1068"/>
    <w:rsid w:val="00AC7421"/>
    <w:rsid w:val="00AD42B1"/>
    <w:rsid w:val="00AD728C"/>
    <w:rsid w:val="00AE2DDE"/>
    <w:rsid w:val="00AE32B2"/>
    <w:rsid w:val="00AF0ED3"/>
    <w:rsid w:val="00AF0F44"/>
    <w:rsid w:val="00B018BE"/>
    <w:rsid w:val="00B03FB7"/>
    <w:rsid w:val="00B0675E"/>
    <w:rsid w:val="00B1089D"/>
    <w:rsid w:val="00B114B6"/>
    <w:rsid w:val="00B12EAB"/>
    <w:rsid w:val="00B17F9A"/>
    <w:rsid w:val="00B20D4A"/>
    <w:rsid w:val="00B2483A"/>
    <w:rsid w:val="00B5117A"/>
    <w:rsid w:val="00B516A4"/>
    <w:rsid w:val="00B65CA7"/>
    <w:rsid w:val="00B67B5F"/>
    <w:rsid w:val="00B7397B"/>
    <w:rsid w:val="00B758B8"/>
    <w:rsid w:val="00B854E3"/>
    <w:rsid w:val="00B9431F"/>
    <w:rsid w:val="00B94CEB"/>
    <w:rsid w:val="00B953FD"/>
    <w:rsid w:val="00B96B29"/>
    <w:rsid w:val="00BA2925"/>
    <w:rsid w:val="00BC20CC"/>
    <w:rsid w:val="00BC4081"/>
    <w:rsid w:val="00BC743D"/>
    <w:rsid w:val="00BD0C49"/>
    <w:rsid w:val="00BD6A83"/>
    <w:rsid w:val="00BE22D7"/>
    <w:rsid w:val="00BE3990"/>
    <w:rsid w:val="00BE4A73"/>
    <w:rsid w:val="00BE577F"/>
    <w:rsid w:val="00BF10E7"/>
    <w:rsid w:val="00BF2136"/>
    <w:rsid w:val="00BF3807"/>
    <w:rsid w:val="00BF39CF"/>
    <w:rsid w:val="00BF553C"/>
    <w:rsid w:val="00C02475"/>
    <w:rsid w:val="00C028F2"/>
    <w:rsid w:val="00C04FB3"/>
    <w:rsid w:val="00C10DF9"/>
    <w:rsid w:val="00C1496E"/>
    <w:rsid w:val="00C149CF"/>
    <w:rsid w:val="00C15CE5"/>
    <w:rsid w:val="00C16334"/>
    <w:rsid w:val="00C17878"/>
    <w:rsid w:val="00C216B2"/>
    <w:rsid w:val="00C23E2D"/>
    <w:rsid w:val="00C245C1"/>
    <w:rsid w:val="00C30663"/>
    <w:rsid w:val="00C35687"/>
    <w:rsid w:val="00C5209E"/>
    <w:rsid w:val="00C545C5"/>
    <w:rsid w:val="00C559F2"/>
    <w:rsid w:val="00C602F1"/>
    <w:rsid w:val="00C65769"/>
    <w:rsid w:val="00C65D3E"/>
    <w:rsid w:val="00C73365"/>
    <w:rsid w:val="00C751FE"/>
    <w:rsid w:val="00C82D89"/>
    <w:rsid w:val="00C83335"/>
    <w:rsid w:val="00C854E5"/>
    <w:rsid w:val="00C8601F"/>
    <w:rsid w:val="00C860EB"/>
    <w:rsid w:val="00C90244"/>
    <w:rsid w:val="00C931C3"/>
    <w:rsid w:val="00C955F4"/>
    <w:rsid w:val="00C97BB0"/>
    <w:rsid w:val="00CA1A51"/>
    <w:rsid w:val="00CB6BB6"/>
    <w:rsid w:val="00CB7A6B"/>
    <w:rsid w:val="00CC240B"/>
    <w:rsid w:val="00CC77D3"/>
    <w:rsid w:val="00CD04E3"/>
    <w:rsid w:val="00CD0CA6"/>
    <w:rsid w:val="00CD46AD"/>
    <w:rsid w:val="00CD5035"/>
    <w:rsid w:val="00CD75EC"/>
    <w:rsid w:val="00CE69A1"/>
    <w:rsid w:val="00CF3D7F"/>
    <w:rsid w:val="00CF4068"/>
    <w:rsid w:val="00CF4B65"/>
    <w:rsid w:val="00CF6C8B"/>
    <w:rsid w:val="00D033DA"/>
    <w:rsid w:val="00D12383"/>
    <w:rsid w:val="00D15E97"/>
    <w:rsid w:val="00D2595D"/>
    <w:rsid w:val="00D34618"/>
    <w:rsid w:val="00D41E50"/>
    <w:rsid w:val="00D53326"/>
    <w:rsid w:val="00D64A67"/>
    <w:rsid w:val="00D65473"/>
    <w:rsid w:val="00D70A34"/>
    <w:rsid w:val="00D70B63"/>
    <w:rsid w:val="00D71153"/>
    <w:rsid w:val="00D7380C"/>
    <w:rsid w:val="00D73F14"/>
    <w:rsid w:val="00D930B1"/>
    <w:rsid w:val="00D95B51"/>
    <w:rsid w:val="00DA4B1D"/>
    <w:rsid w:val="00DB02E5"/>
    <w:rsid w:val="00DB2CAD"/>
    <w:rsid w:val="00DB7C24"/>
    <w:rsid w:val="00DC0E9F"/>
    <w:rsid w:val="00DC4524"/>
    <w:rsid w:val="00DC472F"/>
    <w:rsid w:val="00DD15BE"/>
    <w:rsid w:val="00DD79E4"/>
    <w:rsid w:val="00DE5261"/>
    <w:rsid w:val="00DE574D"/>
    <w:rsid w:val="00DE69DC"/>
    <w:rsid w:val="00DF2A18"/>
    <w:rsid w:val="00DF383F"/>
    <w:rsid w:val="00E0599B"/>
    <w:rsid w:val="00E10646"/>
    <w:rsid w:val="00E13106"/>
    <w:rsid w:val="00E158ED"/>
    <w:rsid w:val="00E25CDF"/>
    <w:rsid w:val="00E3091B"/>
    <w:rsid w:val="00E53E6E"/>
    <w:rsid w:val="00E61459"/>
    <w:rsid w:val="00E653F4"/>
    <w:rsid w:val="00E66BE0"/>
    <w:rsid w:val="00E72895"/>
    <w:rsid w:val="00E7481F"/>
    <w:rsid w:val="00E82164"/>
    <w:rsid w:val="00E85EFB"/>
    <w:rsid w:val="00E9169D"/>
    <w:rsid w:val="00E926C5"/>
    <w:rsid w:val="00E92AE8"/>
    <w:rsid w:val="00E933DE"/>
    <w:rsid w:val="00E94002"/>
    <w:rsid w:val="00E97608"/>
    <w:rsid w:val="00EA5196"/>
    <w:rsid w:val="00EA6895"/>
    <w:rsid w:val="00EB0BD1"/>
    <w:rsid w:val="00EB52A9"/>
    <w:rsid w:val="00ED2714"/>
    <w:rsid w:val="00ED448D"/>
    <w:rsid w:val="00EE0D20"/>
    <w:rsid w:val="00EE0D9F"/>
    <w:rsid w:val="00EE3BBA"/>
    <w:rsid w:val="00EE5C05"/>
    <w:rsid w:val="00EF2EA5"/>
    <w:rsid w:val="00EF740A"/>
    <w:rsid w:val="00EF7CC6"/>
    <w:rsid w:val="00F13F66"/>
    <w:rsid w:val="00F20281"/>
    <w:rsid w:val="00F351D2"/>
    <w:rsid w:val="00F361DE"/>
    <w:rsid w:val="00F5309E"/>
    <w:rsid w:val="00F532B3"/>
    <w:rsid w:val="00F53704"/>
    <w:rsid w:val="00F53F46"/>
    <w:rsid w:val="00F601DE"/>
    <w:rsid w:val="00F650E4"/>
    <w:rsid w:val="00F65D8F"/>
    <w:rsid w:val="00F6778F"/>
    <w:rsid w:val="00F67F4C"/>
    <w:rsid w:val="00F724A2"/>
    <w:rsid w:val="00F82C6E"/>
    <w:rsid w:val="00FA37C6"/>
    <w:rsid w:val="00FA59F9"/>
    <w:rsid w:val="00FA69A4"/>
    <w:rsid w:val="00FB6CB5"/>
    <w:rsid w:val="00FB730C"/>
    <w:rsid w:val="00FB7313"/>
    <w:rsid w:val="00FC2CF5"/>
    <w:rsid w:val="00FC4F71"/>
    <w:rsid w:val="00FD3086"/>
    <w:rsid w:val="00FD3A86"/>
    <w:rsid w:val="00FD42E7"/>
    <w:rsid w:val="00FD5BB4"/>
    <w:rsid w:val="00FE0067"/>
    <w:rsid w:val="00FF0DF4"/>
    <w:rsid w:val="00FF2D67"/>
    <w:rsid w:val="00FF2DD9"/>
    <w:rsid w:val="069F3221"/>
    <w:rsid w:val="0D2739DB"/>
    <w:rsid w:val="0ED211D2"/>
    <w:rsid w:val="19F30813"/>
    <w:rsid w:val="3A223F7C"/>
    <w:rsid w:val="491F6C9D"/>
    <w:rsid w:val="57EF1F35"/>
    <w:rsid w:val="5F9D7E8F"/>
    <w:rsid w:val="620012DD"/>
    <w:rsid w:val="6FEF0E97"/>
    <w:rsid w:val="7F1A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C78B-CDCA-479E-9FA0-6E5193F9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qFormat/>
    <w:pPr>
      <w:spacing w:after="0" w:line="240" w:lineRule="auto"/>
    </w:pPr>
    <w:rPr>
      <w:rFonts w:ascii="Courier New" w:eastAsia="SimSun" w:hAnsi="Courier New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f1">
    <w:name w:val="Hyperlink"/>
    <w:basedOn w:val="a0"/>
    <w:semiHidden/>
    <w:unhideWhenUsed/>
    <w:qFormat/>
    <w:rPr>
      <w:color w:val="0000FF"/>
      <w:u w:val="single"/>
    </w:rPr>
  </w:style>
  <w:style w:type="table" w:styleId="af2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link w:val="a5"/>
    <w:qFormat/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c">
    <w:name w:val="Основной текст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  <w:qFormat/>
    <w:locked/>
  </w:style>
  <w:style w:type="character" w:customStyle="1" w:styleId="a8">
    <w:name w:val="Текст сноски Знак"/>
    <w:basedOn w:val="a0"/>
    <w:link w:val="a7"/>
    <w:uiPriority w:val="99"/>
    <w:qFormat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28"/>
      <w:szCs w:val="32"/>
      <w:lang w:val="zh-CN"/>
    </w:rPr>
  </w:style>
  <w:style w:type="paragraph" w:customStyle="1" w:styleId="af5">
    <w:name w:val="Стиль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0">
    <w:name w:val="Pa10"/>
    <w:basedOn w:val="Default"/>
    <w:next w:val="Default"/>
    <w:uiPriority w:val="99"/>
    <w:pPr>
      <w:spacing w:line="221" w:lineRule="atLeast"/>
    </w:pPr>
    <w:rPr>
      <w:rFonts w:ascii="Myriad Pro Light" w:hAnsi="Myriad Pro Light" w:cstheme="minorBidi"/>
      <w:color w:val="auto"/>
    </w:rPr>
  </w:style>
  <w:style w:type="character" w:customStyle="1" w:styleId="A00">
    <w:name w:val="A0"/>
    <w:uiPriority w:val="99"/>
    <w:qFormat/>
    <w:rPr>
      <w:rFonts w:cs="Myriad Pro Light"/>
      <w:b/>
      <w:bCs/>
      <w:color w:val="000000"/>
      <w:sz w:val="18"/>
      <w:szCs w:val="18"/>
    </w:rPr>
  </w:style>
  <w:style w:type="paragraph" w:styleId="af6">
    <w:name w:val="No Spacing"/>
    <w:link w:val="af7"/>
    <w:uiPriority w:val="1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ar-SA"/>
    </w:rPr>
  </w:style>
  <w:style w:type="character" w:customStyle="1" w:styleId="af7">
    <w:name w:val="Без интервала Знак"/>
    <w:link w:val="af6"/>
    <w:uiPriority w:val="1"/>
    <w:qFormat/>
    <w:rPr>
      <w:rFonts w:ascii="Times New Roman" w:eastAsia="Times New Roman" w:hAnsi="Times New Roman" w:cs="Times New Roman"/>
      <w:sz w:val="24"/>
      <w:szCs w:val="24"/>
      <w:lang w:val="be-BY"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">
    <w:name w:val="Заголовок №2"/>
    <w:basedOn w:val="a0"/>
    <w:qFormat/>
    <w:rPr>
      <w:rFonts w:ascii="Arial Narrow" w:eastAsia="Arial Narrow" w:hAnsi="Arial Narrow" w:cs="Arial Narrow" w:hint="default"/>
      <w:color w:val="FFFFFF"/>
      <w:spacing w:val="-10"/>
      <w:w w:val="100"/>
      <w:sz w:val="88"/>
      <w:szCs w:val="88"/>
      <w:u w:val="none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giena\Desktop\&#1055;&#1042;&#1043;%20&#1072;&#1085;&#1072;&#1083;&#1080;&#1079;%20&#1079;&#1072;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giena\Desktop\&#1055;&#1042;&#1043;%20&#1072;&#1085;&#1072;&#1083;&#1080;&#1079;%20&#1079;&#1072;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giena\Desktop\&#1055;&#1042;&#1043;%20&#1072;&#1085;&#1072;&#1083;&#1080;&#1079;%20&#1079;&#1072;%202020%20(&#1040;&#1074;&#1090;&#1086;&#1089;&#1086;&#1093;&#1088;&#1072;&#1085;&#1077;&#1085;&#1085;&#1099;&#1081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giena\Desktop\&#1055;&#1042;&#1043;%20&#1072;&#1085;&#1072;&#1083;&#1080;&#1079;%20&#1079;&#1072;%2020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ergig\&#1069;&#1087;&#1080;&#1076;&#1086;&#1090;&#1076;&#1077;&#1083;\&#1050;&#1086;&#1083;&#1077;&#1089;&#1077;&#1085;&#1100;\&#1055;&#1042;&#1043;\&#1075;&#1077;&#1087;&#1072;&#1090;&#1080;&#1090;&#1099;%20&#1040;&#1085;&#1072;&#1083;&#1080;&#1079;\&#1055;&#1042;&#1043;%20&#1072;&#1085;&#1072;&#1083;&#1080;&#1079;%20&#1079;&#1072;%202020%20(&#1040;&#1074;&#1090;&#1086;&#1089;&#1086;&#1093;&#1088;&#1072;&#1085;&#1077;&#1085;&#1085;&#1099;&#1081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МДЗ!$A$2:$C$2</c:f>
              <c:strCache>
                <c:ptCount val="3"/>
                <c:pt idx="0">
                  <c:v>ОВГВ </c:v>
                </c:pt>
              </c:strCache>
            </c:strRef>
          </c:tx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МДЗ!$D$1:$Q$1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numCache>
            </c:numRef>
          </c:cat>
          <c:val>
            <c:numRef>
              <c:f>МДЗ!$D$2:$Q$2</c:f>
              <c:numCache>
                <c:formatCode>General</c:formatCode>
                <c:ptCount val="14"/>
                <c:pt idx="0">
                  <c:v>1.99</c:v>
                </c:pt>
                <c:pt idx="1">
                  <c:v>1.4990000000000001</c:v>
                </c:pt>
                <c:pt idx="2">
                  <c:v>0.69</c:v>
                </c:pt>
                <c:pt idx="3">
                  <c:v>0.83</c:v>
                </c:pt>
                <c:pt idx="4">
                  <c:v>1.21</c:v>
                </c:pt>
                <c:pt idx="5">
                  <c:v>0.997</c:v>
                </c:pt>
                <c:pt idx="6">
                  <c:v>1.07</c:v>
                </c:pt>
                <c:pt idx="7">
                  <c:v>1.5</c:v>
                </c:pt>
                <c:pt idx="8">
                  <c:v>1.1000000000000001</c:v>
                </c:pt>
                <c:pt idx="9">
                  <c:v>1.61</c:v>
                </c:pt>
                <c:pt idx="10">
                  <c:v>1.05</c:v>
                </c:pt>
                <c:pt idx="11">
                  <c:v>0.63</c:v>
                </c:pt>
                <c:pt idx="12">
                  <c:v>0.7</c:v>
                </c:pt>
                <c:pt idx="13">
                  <c:v>0.28000000000000003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МДЗ!$A$4:$C$4</c:f>
              <c:strCache>
                <c:ptCount val="3"/>
                <c:pt idx="0">
                  <c:v>ХВГВ </c:v>
                </c:pt>
              </c:strCache>
            </c:strRef>
          </c:tx>
          <c:spPr>
            <a:ln w="22225" cap="rnd">
              <a:solidFill>
                <a:schemeClr val="accent3"/>
              </a:solidFill>
            </a:ln>
            <a:effectLst>
              <a:glow rad="139700">
                <a:schemeClr val="accent3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МДЗ!$D$1:$Q$1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numCache>
            </c:numRef>
          </c:cat>
          <c:val>
            <c:numRef>
              <c:f>МДЗ!$D$4:$Q$4</c:f>
              <c:numCache>
                <c:formatCode>General</c:formatCode>
                <c:ptCount val="14"/>
                <c:pt idx="0">
                  <c:v>12.808</c:v>
                </c:pt>
                <c:pt idx="1">
                  <c:v>11.241</c:v>
                </c:pt>
                <c:pt idx="2">
                  <c:v>9.68</c:v>
                </c:pt>
                <c:pt idx="3">
                  <c:v>7.15</c:v>
                </c:pt>
                <c:pt idx="4">
                  <c:v>14.84</c:v>
                </c:pt>
                <c:pt idx="5">
                  <c:v>10.962</c:v>
                </c:pt>
                <c:pt idx="6">
                  <c:v>12.76</c:v>
                </c:pt>
                <c:pt idx="7">
                  <c:v>10.69</c:v>
                </c:pt>
                <c:pt idx="8">
                  <c:v>9.5500000000000007</c:v>
                </c:pt>
                <c:pt idx="9">
                  <c:v>9.6300000000000008</c:v>
                </c:pt>
                <c:pt idx="10">
                  <c:v>11.17</c:v>
                </c:pt>
                <c:pt idx="11">
                  <c:v>9.9700000000000006</c:v>
                </c:pt>
                <c:pt idx="12">
                  <c:v>11.16</c:v>
                </c:pt>
                <c:pt idx="13">
                  <c:v>5.87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МДЗ!$A$6:$C$6</c:f>
              <c:strCache>
                <c:ptCount val="3"/>
                <c:pt idx="0">
                  <c:v>носительство гепатита В </c:v>
                </c:pt>
              </c:strCache>
            </c:strRef>
          </c:tx>
          <c:spPr>
            <a:ln w="22225" cap="rnd">
              <a:solidFill>
                <a:schemeClr val="accent5"/>
              </a:solidFill>
            </a:ln>
            <a:effectLst>
              <a:glow rad="139700">
                <a:schemeClr val="accent5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МДЗ!$D$1:$Q$1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numCache>
            </c:numRef>
          </c:cat>
          <c:val>
            <c:numRef>
              <c:f>МДЗ!$D$6:$Q$6</c:f>
              <c:numCache>
                <c:formatCode>General</c:formatCode>
                <c:ptCount val="14"/>
                <c:pt idx="0">
                  <c:v>32.450000000000003</c:v>
                </c:pt>
                <c:pt idx="1">
                  <c:v>23.981999999999999</c:v>
                </c:pt>
                <c:pt idx="2">
                  <c:v>14.14</c:v>
                </c:pt>
                <c:pt idx="3">
                  <c:v>13.39</c:v>
                </c:pt>
                <c:pt idx="4">
                  <c:v>15.56</c:v>
                </c:pt>
                <c:pt idx="5">
                  <c:v>14.74</c:v>
                </c:pt>
                <c:pt idx="6">
                  <c:v>13.83</c:v>
                </c:pt>
                <c:pt idx="7">
                  <c:v>1.43</c:v>
                </c:pt>
                <c:pt idx="8">
                  <c:v>0.5</c:v>
                </c:pt>
                <c:pt idx="9">
                  <c:v>0.63</c:v>
                </c:pt>
                <c:pt idx="10">
                  <c:v>0.28000000000000003</c:v>
                </c:pt>
                <c:pt idx="11">
                  <c:v>7.0000000000000007E-2</c:v>
                </c:pt>
                <c:pt idx="12">
                  <c:v>0.14000000000000001</c:v>
                </c:pt>
                <c:pt idx="13">
                  <c:v>6.9000000000000006E-2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8630128"/>
        <c:axId val="478650904"/>
      </c:lineChart>
      <c:catAx>
        <c:axId val="47863012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50904"/>
        <c:crosses val="autoZero"/>
        <c:auto val="1"/>
        <c:lblAlgn val="ctr"/>
        <c:lblOffset val="100"/>
        <c:noMultiLvlLbl val="0"/>
      </c:catAx>
      <c:valAx>
        <c:axId val="4786509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на 100 000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3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'соц структура'!$B$1</c:f>
              <c:strCache>
                <c:ptCount val="1"/>
                <c:pt idx="0">
                  <c:v>2020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4031487646085926E-3"/>
                  <c:y val="0.217552478626401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0882891375617064E-2"/>
                  <c:y val="5.765770249373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52094336684665E-2"/>
                  <c:y val="1.9267343275092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'соц структура'!$A$2:$A$8</c:f>
              <c:strCache>
                <c:ptCount val="7"/>
                <c:pt idx="0">
                  <c:v>работающие</c:v>
                </c:pt>
                <c:pt idx="1">
                  <c:v>находящиеся в декретном отпуске</c:v>
                </c:pt>
                <c:pt idx="2">
                  <c:v>неорганизованные дети</c:v>
                </c:pt>
                <c:pt idx="3">
                  <c:v>неработающие</c:v>
                </c:pt>
                <c:pt idx="4">
                  <c:v>военнослужащие</c:v>
                </c:pt>
                <c:pt idx="5">
                  <c:v>студенты </c:v>
                </c:pt>
                <c:pt idx="6">
                  <c:v>не установлено</c:v>
                </c:pt>
              </c:strCache>
            </c:strRef>
          </c:cat>
          <c:val>
            <c:numRef>
              <c:f>'соц структура'!$B$2:$B$8</c:f>
              <c:numCache>
                <c:formatCode>0.00%</c:formatCode>
                <c:ptCount val="7"/>
                <c:pt idx="0">
                  <c:v>0.5776</c:v>
                </c:pt>
                <c:pt idx="1">
                  <c:v>1.6E-2</c:v>
                </c:pt>
                <c:pt idx="2">
                  <c:v>5.3E-3</c:v>
                </c:pt>
                <c:pt idx="3">
                  <c:v>0.37969999999999998</c:v>
                </c:pt>
                <c:pt idx="4">
                  <c:v>2.7000000000000001E-3</c:v>
                </c:pt>
                <c:pt idx="5">
                  <c:v>2.7000000000000001E-3</c:v>
                </c:pt>
                <c:pt idx="6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'соц структура'!$B$20</c:f>
              <c:strCache>
                <c:ptCount val="1"/>
                <c:pt idx="0">
                  <c:v>2020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4664509959510879E-2"/>
                  <c:y val="-5.4873933292277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836619259801827E-2"/>
                  <c:y val="-4.8673694657663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168487659972738E-2"/>
                  <c:y val="3.2667923988827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599055931961993E-2"/>
                  <c:y val="4.597943288538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2260880180675088E-3"/>
                  <c:y val="-5.673757890338047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671570123502005E-2"/>
                  <c:y val="2.2030057514241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255813953488372E-2"/>
                  <c:y val="2.7149498537400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'соц структура'!$A$21:$A$28</c:f>
              <c:strCache>
                <c:ptCount val="8"/>
                <c:pt idx="0">
                  <c:v>работники  ОЗ</c:v>
                </c:pt>
                <c:pt idx="1">
                  <c:v>работники торговли и общепита</c:v>
                </c:pt>
                <c:pt idx="2">
                  <c:v>предприятия пищевой промышленности</c:v>
                </c:pt>
                <c:pt idx="3">
                  <c:v>работники УО</c:v>
                </c:pt>
                <c:pt idx="4">
                  <c:v>работники МТФ</c:v>
                </c:pt>
                <c:pt idx="5">
                  <c:v>промышленные предприятия </c:v>
                </c:pt>
                <c:pt idx="6">
                  <c:v>работники ЖЭС</c:v>
                </c:pt>
                <c:pt idx="7">
                  <c:v>работники прочих организаций</c:v>
                </c:pt>
              </c:strCache>
            </c:strRef>
          </c:cat>
          <c:val>
            <c:numRef>
              <c:f>'соц структура'!$B$21:$B$28</c:f>
              <c:numCache>
                <c:formatCode>0.00%</c:formatCode>
                <c:ptCount val="8"/>
                <c:pt idx="0">
                  <c:v>9.1999999999999998E-2</c:v>
                </c:pt>
                <c:pt idx="1">
                  <c:v>3.3300000000000003E-2</c:v>
                </c:pt>
                <c:pt idx="2">
                  <c:v>1.67E-2</c:v>
                </c:pt>
                <c:pt idx="3">
                  <c:v>0.1</c:v>
                </c:pt>
                <c:pt idx="4">
                  <c:v>2.9000000000000001E-2</c:v>
                </c:pt>
                <c:pt idx="5">
                  <c:v>0.38300000000000001</c:v>
                </c:pt>
                <c:pt idx="6">
                  <c:v>4.0000000000000001E-3</c:v>
                </c:pt>
                <c:pt idx="7">
                  <c:v>0.34200000000000003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112249667421703E-2"/>
          <c:y val="0.1345668742025998"/>
          <c:w val="0.83651274184334268"/>
          <c:h val="0.4830084120901441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пути!$A$10</c:f>
              <c:strCache>
                <c:ptCount val="1"/>
                <c:pt idx="0">
                  <c:v>2018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пути!$A$30:$A$35</c:f>
              <c:strCache>
                <c:ptCount val="6"/>
                <c:pt idx="0">
                  <c:v>немедицинские манипуляции</c:v>
                </c:pt>
                <c:pt idx="1">
                  <c:v>инъекционное введение наркотических веществ</c:v>
                </c:pt>
                <c:pt idx="2">
                  <c:v>половой путь</c:v>
                </c:pt>
                <c:pt idx="3">
                  <c:v>контактно-бытовой</c:v>
                </c:pt>
                <c:pt idx="4">
                  <c:v>прочие</c:v>
                </c:pt>
                <c:pt idx="5">
                  <c:v>не установлен</c:v>
                </c:pt>
              </c:strCache>
            </c:strRef>
          </c:cat>
          <c:val>
            <c:numRef>
              <c:f>пути!$K$11:$K$16</c:f>
              <c:numCache>
                <c:formatCode>0.0%</c:formatCode>
                <c:ptCount val="6"/>
                <c:pt idx="0">
                  <c:v>8.0188679245283015E-2</c:v>
                </c:pt>
                <c:pt idx="1">
                  <c:v>3.9308176100628929E-2</c:v>
                </c:pt>
                <c:pt idx="2">
                  <c:v>0.24213836477987422</c:v>
                </c:pt>
                <c:pt idx="3">
                  <c:v>2.5157232704402517E-2</c:v>
                </c:pt>
                <c:pt idx="4">
                  <c:v>0.19654088050314467</c:v>
                </c:pt>
                <c:pt idx="5">
                  <c:v>0.41666666666666669</c:v>
                </c:pt>
              </c:numCache>
            </c:numRef>
          </c:val>
        </c:ser>
        <c:ser>
          <c:idx val="2"/>
          <c:order val="1"/>
          <c:tx>
            <c:strRef>
              <c:f>пути!$A$19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пути!$A$30:$A$35</c:f>
              <c:strCache>
                <c:ptCount val="6"/>
                <c:pt idx="0">
                  <c:v>немедицинские манипуляции</c:v>
                </c:pt>
                <c:pt idx="1">
                  <c:v>инъекционное введение наркотических веществ</c:v>
                </c:pt>
                <c:pt idx="2">
                  <c:v>половой путь</c:v>
                </c:pt>
                <c:pt idx="3">
                  <c:v>контактно-бытовой</c:v>
                </c:pt>
                <c:pt idx="4">
                  <c:v>прочие</c:v>
                </c:pt>
                <c:pt idx="5">
                  <c:v>не установлен</c:v>
                </c:pt>
              </c:strCache>
            </c:strRef>
          </c:cat>
          <c:val>
            <c:numRef>
              <c:f>пути!$K$20:$K$25</c:f>
              <c:numCache>
                <c:formatCode>0.0%</c:formatCode>
                <c:ptCount val="6"/>
                <c:pt idx="0">
                  <c:v>0.10323574730354391</c:v>
                </c:pt>
                <c:pt idx="1">
                  <c:v>6.9337442218798145E-2</c:v>
                </c:pt>
                <c:pt idx="2">
                  <c:v>0.2280431432973806</c:v>
                </c:pt>
                <c:pt idx="3">
                  <c:v>2.465331278890601E-2</c:v>
                </c:pt>
                <c:pt idx="4">
                  <c:v>0.23574730354391371</c:v>
                </c:pt>
                <c:pt idx="5">
                  <c:v>0.33898305084745761</c:v>
                </c:pt>
              </c:numCache>
            </c:numRef>
          </c:val>
        </c:ser>
        <c:ser>
          <c:idx val="0"/>
          <c:order val="2"/>
          <c:tx>
            <c:strRef>
              <c:f>пути!$A$29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пути!$A$30:$A$35</c:f>
              <c:strCache>
                <c:ptCount val="6"/>
                <c:pt idx="0">
                  <c:v>немедицинские манипуляции</c:v>
                </c:pt>
                <c:pt idx="1">
                  <c:v>инъекционное введение наркотических веществ</c:v>
                </c:pt>
                <c:pt idx="2">
                  <c:v>половой путь</c:v>
                </c:pt>
                <c:pt idx="3">
                  <c:v>контактно-бытовой</c:v>
                </c:pt>
                <c:pt idx="4">
                  <c:v>прочие</c:v>
                </c:pt>
                <c:pt idx="5">
                  <c:v>не установлен</c:v>
                </c:pt>
              </c:strCache>
            </c:strRef>
          </c:cat>
          <c:val>
            <c:numRef>
              <c:f>пути!$K$30:$K$35</c:f>
              <c:numCache>
                <c:formatCode>0.00%</c:formatCode>
                <c:ptCount val="6"/>
                <c:pt idx="0">
                  <c:v>8.2887700534759357E-2</c:v>
                </c:pt>
                <c:pt idx="1">
                  <c:v>4.2780748663101602E-2</c:v>
                </c:pt>
                <c:pt idx="2">
                  <c:v>0.38235294117647056</c:v>
                </c:pt>
                <c:pt idx="3">
                  <c:v>1.6042780748663103E-2</c:v>
                </c:pt>
                <c:pt idx="4">
                  <c:v>1.06951871657754E-2</c:v>
                </c:pt>
                <c:pt idx="5">
                  <c:v>0.46524064171122997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478617584"/>
        <c:axId val="478619544"/>
        <c:axId val="0"/>
      </c:bar3DChart>
      <c:catAx>
        <c:axId val="47861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19544"/>
        <c:crosses val="autoZero"/>
        <c:auto val="1"/>
        <c:lblAlgn val="ctr"/>
        <c:lblOffset val="100"/>
        <c:noMultiLvlLbl val="0"/>
      </c:catAx>
      <c:valAx>
        <c:axId val="478619544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61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215223097112862E-2"/>
          <c:y val="0.16184893554972296"/>
          <c:w val="0.5947917760279966"/>
          <c:h val="0.7924595363079615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контактные!$A$35:$C$39</c:f>
              <c:strCache>
                <c:ptCount val="5"/>
                <c:pt idx="0">
                  <c:v>планируют обследоваться в ближайшее время</c:v>
                </c:pt>
                <c:pt idx="1">
                  <c:v>отказались без объяснения причин</c:v>
                </c:pt>
                <c:pt idx="2">
                  <c:v>нехватка времени </c:v>
                </c:pt>
                <c:pt idx="3">
                  <c:v>асоциальный образ жизни</c:v>
                </c:pt>
                <c:pt idx="4">
                  <c:v>неявка на обследование</c:v>
                </c:pt>
              </c:strCache>
            </c:strRef>
          </c:cat>
          <c:val>
            <c:numRef>
              <c:f>контактные!$D$35:$D$39</c:f>
              <c:numCache>
                <c:formatCode>0.00%</c:formatCode>
                <c:ptCount val="5"/>
                <c:pt idx="0">
                  <c:v>5.0900000000000001E-2</c:v>
                </c:pt>
                <c:pt idx="1">
                  <c:v>0.57630000000000003</c:v>
                </c:pt>
                <c:pt idx="2">
                  <c:v>0.1017</c:v>
                </c:pt>
                <c:pt idx="3">
                  <c:v>1.6899999999999998E-2</c:v>
                </c:pt>
                <c:pt idx="4">
                  <c:v>0.25419999999999998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6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E8FA4-BE0E-4AEE-8645-2EE85C0E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Gigiena</cp:lastModifiedBy>
  <cp:revision>6</cp:revision>
  <cp:lastPrinted>2020-12-07T12:55:00Z</cp:lastPrinted>
  <dcterms:created xsi:type="dcterms:W3CDTF">2021-04-07T07:30:00Z</dcterms:created>
  <dcterms:modified xsi:type="dcterms:W3CDTF">2021-04-07T11:53:00Z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