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06" w:rsidRDefault="00E72CA6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УЧРЕЖДЕНИЕ </w:t>
      </w:r>
    </w:p>
    <w:p w:rsidR="00164106" w:rsidRDefault="00E72CA6">
      <w:pPr>
        <w:spacing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«МИНСКИЙ ОБЛАСТНОЙ ЦЕНТР ГИГИЕНЫ, ЭПИДЕМИОЛОГИИ И ОБЩЕСТВЕННОГО ЗДОРОВЬЯ»</w:t>
      </w:r>
    </w:p>
    <w:p w:rsidR="00164106" w:rsidRDefault="00164106">
      <w:pPr>
        <w:spacing w:line="280" w:lineRule="exact"/>
        <w:rPr>
          <w:rFonts w:ascii="Times New Roman" w:hAnsi="Times New Roman" w:cs="Times New Roman"/>
        </w:rPr>
      </w:pPr>
    </w:p>
    <w:p w:rsidR="00164106" w:rsidRDefault="00164106">
      <w:pPr>
        <w:spacing w:after="0" w:line="28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64106" w:rsidRDefault="00164106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164106" w:rsidRDefault="00164106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164106" w:rsidRDefault="00164106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164106" w:rsidRDefault="00E72CA6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ПРОГРАММА</w:t>
      </w:r>
    </w:p>
    <w:p w:rsidR="00164106" w:rsidRDefault="00E72CA6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достижения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показателя Цели устойчивого развития</w:t>
      </w:r>
    </w:p>
    <w:p w:rsidR="00164106" w:rsidRDefault="0016410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64106" w:rsidRDefault="00E72CA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b/>
          <w:sz w:val="36"/>
          <w:szCs w:val="36"/>
        </w:rPr>
        <w:t>.1. «Доля местных административных единиц, в которых действуют правила и процедуры участия граждан в управлении водными ресурсами и санитарией»</w:t>
      </w:r>
    </w:p>
    <w:p w:rsidR="00164106" w:rsidRDefault="00164106">
      <w:pPr>
        <w:rPr>
          <w:rFonts w:ascii="Times New Roman" w:hAnsi="Times New Roman" w:cs="Times New Roman"/>
          <w:b/>
          <w:sz w:val="2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rPr>
          <w:rFonts w:ascii="Times New Roman" w:hAnsi="Times New Roman" w:cs="Times New Roman"/>
          <w:b/>
          <w:sz w:val="36"/>
          <w:szCs w:val="26"/>
        </w:rPr>
      </w:pPr>
    </w:p>
    <w:p w:rsidR="00164106" w:rsidRDefault="00164106">
      <w:pPr>
        <w:spacing w:after="0"/>
        <w:rPr>
          <w:rFonts w:ascii="Times New Roman" w:hAnsi="Times New Roman"/>
        </w:rPr>
      </w:pPr>
    </w:p>
    <w:p w:rsidR="00164106" w:rsidRDefault="00164106">
      <w:pPr>
        <w:spacing w:after="0"/>
        <w:rPr>
          <w:rFonts w:ascii="Times New Roman" w:hAnsi="Times New Roman"/>
        </w:rPr>
      </w:pPr>
    </w:p>
    <w:p w:rsidR="00164106" w:rsidRDefault="00164106">
      <w:pPr>
        <w:spacing w:after="0"/>
        <w:rPr>
          <w:rFonts w:ascii="Times New Roman" w:hAnsi="Times New Roman"/>
        </w:rPr>
      </w:pPr>
    </w:p>
    <w:p w:rsidR="00164106" w:rsidRDefault="00164106">
      <w:pPr>
        <w:spacing w:after="0"/>
        <w:rPr>
          <w:rFonts w:ascii="Times New Roman" w:hAnsi="Times New Roman"/>
        </w:rPr>
      </w:pPr>
    </w:p>
    <w:p w:rsidR="00164106" w:rsidRDefault="00E72CA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Введение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28"/>
        </w:rPr>
        <w:t xml:space="preserve">«…В условиях, когда глобальные экологические проблемы создают угрозу для нынешнего и будущего поколений, Беларусь по-новому пересматривает проводимую экономическую и экологическую политику, переходя к модели, в которой экономический рост сопровождается сокращением потребления ресурсов, уменьшением негативного воздействия на окружающую среду и повышением благосостояния людей. Такие подходы заложены в основу ключевых программных документов: Национальной стратегии устойчивого социально-экономического развития на период до 2030 года, Программы социально-экономического развития на 2016–2020 годы, Государственной </w:t>
      </w:r>
      <w:proofErr w:type="gramStart"/>
      <w:r>
        <w:rPr>
          <w:rFonts w:ascii="Times New Roman" w:hAnsi="Times New Roman" w:cs="Times New Roman"/>
          <w:color w:val="000000"/>
          <w:sz w:val="30"/>
          <w:szCs w:val="28"/>
        </w:rPr>
        <w:t>программы ”Охрана</w:t>
      </w:r>
      <w:proofErr w:type="gramEnd"/>
      <w:r>
        <w:rPr>
          <w:rFonts w:ascii="Times New Roman" w:hAnsi="Times New Roman" w:cs="Times New Roman"/>
          <w:color w:val="000000"/>
          <w:sz w:val="30"/>
          <w:szCs w:val="28"/>
        </w:rPr>
        <w:t xml:space="preserve"> окружающей среды и устойчивое использование природных ресурсов“ на 2016–2020 годы, Национального плана действий по развитию ”зеленой экономики“ до 2020 года. Предпринимаемые Беларусью меры в сфере экологии в целом являются достаточными для недопущения ухудшения качества окружающей среды.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28"/>
        </w:rPr>
        <w:t xml:space="preserve">Относительно проводимой в стране работы по достижению </w:t>
      </w:r>
      <w:r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Цели 6 ”Обеспечение наличия и рационального использования водных ресурсов и санитарии для всех“ </w:t>
      </w:r>
      <w:r>
        <w:rPr>
          <w:rFonts w:ascii="Times New Roman" w:hAnsi="Times New Roman" w:cs="Times New Roman"/>
          <w:color w:val="000000"/>
          <w:sz w:val="30"/>
          <w:szCs w:val="28"/>
        </w:rPr>
        <w:t xml:space="preserve">следует отметить реализацию в стране пятилетних государственных программ ”Чистая вода“, направленных на обеспечение бесперебойного снабжения населения качественной питьевой водой, организацию рационального </w:t>
      </w:r>
      <w:proofErr w:type="spellStart"/>
      <w:r>
        <w:rPr>
          <w:rFonts w:ascii="Times New Roman" w:hAnsi="Times New Roman" w:cs="Times New Roman"/>
          <w:color w:val="000000"/>
          <w:sz w:val="30"/>
          <w:szCs w:val="28"/>
        </w:rPr>
        <w:t>неистощающего</w:t>
      </w:r>
      <w:proofErr w:type="spellEnd"/>
      <w:r>
        <w:rPr>
          <w:rFonts w:ascii="Times New Roman" w:hAnsi="Times New Roman" w:cs="Times New Roman"/>
          <w:color w:val="000000"/>
          <w:sz w:val="30"/>
          <w:szCs w:val="28"/>
        </w:rPr>
        <w:t xml:space="preserve"> водопользования в интересах эффективного и устойчивого социально-экономического развития страны, совершенствование форм управления водоснабжением и водоотведением, внедрение прогрессивных энергосберегающих технологий в сфере водного хозяйства. Действующей </w:t>
      </w:r>
      <w:proofErr w:type="gramStart"/>
      <w:r>
        <w:rPr>
          <w:rFonts w:ascii="Times New Roman" w:hAnsi="Times New Roman" w:cs="Times New Roman"/>
          <w:color w:val="000000"/>
          <w:sz w:val="30"/>
          <w:szCs w:val="28"/>
        </w:rPr>
        <w:t>программой ”Чистая</w:t>
      </w:r>
      <w:proofErr w:type="gramEnd"/>
      <w:r>
        <w:rPr>
          <w:rFonts w:ascii="Times New Roman" w:hAnsi="Times New Roman" w:cs="Times New Roman"/>
          <w:color w:val="000000"/>
          <w:sz w:val="30"/>
          <w:szCs w:val="28"/>
        </w:rPr>
        <w:t xml:space="preserve"> вода“ запланировано, что к 2020 году обеспеченность потребителей водоснабжением питьевого качества составит 100 % (в настоящее время – около 84 %).</w:t>
      </w:r>
      <w:r>
        <w:rPr>
          <w:rStyle w:val="af"/>
          <w:rFonts w:ascii="Times New Roman" w:hAnsi="Times New Roman" w:cs="Times New Roman"/>
          <w:color w:val="000000"/>
          <w:sz w:val="30"/>
          <w:szCs w:val="28"/>
        </w:rPr>
        <w:footnoteReference w:id="1"/>
      </w:r>
      <w:r>
        <w:rPr>
          <w:rFonts w:ascii="Times New Roman" w:hAnsi="Times New Roman" w:cs="Times New Roman"/>
          <w:color w:val="000000"/>
          <w:sz w:val="30"/>
          <w:szCs w:val="28"/>
        </w:rPr>
        <w:t xml:space="preserve"> Стратегическая цель в области сохранения водного потенциала страны состоит в повышении эффективности использования и улучшении качества водных ресурсов, сбалансированных с потребностями общества и возможным изменением климата. Достижение этой цели обеспечивается путем комплексного подхода к решению организационных, правовых и финансово-экономических проблем водопользования и охраны вод…».</w:t>
      </w:r>
    </w:p>
    <w:p w:rsidR="00164106" w:rsidRDefault="00E72CA6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30"/>
          <w:szCs w:val="26"/>
        </w:rPr>
        <w:t>Из  материалов</w:t>
      </w:r>
      <w:proofErr w:type="gramEnd"/>
      <w:r>
        <w:rPr>
          <w:rFonts w:ascii="Times New Roman" w:hAnsi="Times New Roman" w:cs="Times New Roman"/>
          <w:i/>
          <w:sz w:val="30"/>
          <w:szCs w:val="26"/>
        </w:rPr>
        <w:t xml:space="preserve"> Национального координатора по достижению Целей устойчивого развития </w:t>
      </w:r>
      <w:r>
        <w:rPr>
          <w:rFonts w:ascii="Times New Roman" w:hAnsi="Times New Roman" w:cs="Times New Roman"/>
          <w:i/>
          <w:sz w:val="30"/>
          <w:szCs w:val="26"/>
        </w:rPr>
        <w:lastRenderedPageBreak/>
        <w:t>«</w:t>
      </w:r>
      <w:proofErr w:type="spellStart"/>
      <w:r>
        <w:rPr>
          <w:rFonts w:ascii="Times New Roman" w:hAnsi="Times New Roman" w:cs="Times New Roman"/>
          <w:bCs/>
          <w:i/>
          <w:sz w:val="30"/>
          <w:szCs w:val="26"/>
        </w:rPr>
        <w:t>Cтартовые</w:t>
      </w:r>
      <w:proofErr w:type="spellEnd"/>
      <w:r>
        <w:rPr>
          <w:rFonts w:ascii="Times New Roman" w:hAnsi="Times New Roman" w:cs="Times New Roman"/>
          <w:bCs/>
          <w:i/>
          <w:sz w:val="30"/>
          <w:szCs w:val="26"/>
        </w:rPr>
        <w:t xml:space="preserve"> позиции Беларуси по достижению Целей устойчивого развития» г. Минск, 2016 г. (стр. 66-67</w:t>
      </w:r>
      <w:r>
        <w:rPr>
          <w:rFonts w:ascii="Times New Roman" w:hAnsi="Times New Roman" w:cs="Times New Roman"/>
          <w:bCs/>
          <w:i/>
          <w:sz w:val="26"/>
          <w:szCs w:val="26"/>
        </w:rPr>
        <w:t>).</w:t>
      </w:r>
    </w:p>
    <w:p w:rsidR="00164106" w:rsidRDefault="00E72CA6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25-27 сентября 2015 года </w:t>
      </w:r>
      <w:r>
        <w:rPr>
          <w:rFonts w:ascii="Times New Roman" w:hAnsi="Times New Roman" w:cs="Times New Roman"/>
          <w:sz w:val="30"/>
          <w:szCs w:val="30"/>
        </w:rPr>
        <w:t xml:space="preserve">Генеральная Ассамблея </w:t>
      </w:r>
      <w:r>
        <w:rPr>
          <w:rFonts w:ascii="Times New Roman" w:hAnsi="Times New Roman" w:cs="Times New Roman"/>
          <w:bCs/>
          <w:sz w:val="30"/>
          <w:szCs w:val="30"/>
        </w:rPr>
        <w:t>ООН рассмотрела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Повестку дня в области устойчивого развития на период до 2030 года» (Повестка-2030), утвердила 17 Целей  устойчивого развития (ЦУР) и 169 подчиненных им задач. </w:t>
      </w:r>
    </w:p>
    <w:p w:rsidR="00164106" w:rsidRDefault="00E72CA6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Александр Григорьевич </w:t>
      </w:r>
      <w:proofErr w:type="gramStart"/>
      <w:r>
        <w:rPr>
          <w:rFonts w:ascii="Times New Roman" w:hAnsi="Times New Roman" w:cs="Times New Roman"/>
          <w:sz w:val="30"/>
          <w:szCs w:val="30"/>
        </w:rPr>
        <w:t>Лукашенко,  скрепив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своей подписью этот исторический документ, подтвердил стремление Беларуси достигнуть Цели  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на основе скоординированных действий всех национальных партнеров в экономической, социальной и природоохранной сферах, регулируемых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Указом </w:t>
      </w:r>
      <w:r>
        <w:rPr>
          <w:rFonts w:ascii="Times New Roman" w:hAnsi="Times New Roman"/>
          <w:bCs/>
          <w:sz w:val="30"/>
          <w:szCs w:val="30"/>
          <w:shd w:val="clear" w:color="auto" w:fill="FFFFFF"/>
        </w:rPr>
        <w:t>№181 от 25 мая 2017 года. «О Национальном координаторе по достижению Целей устойчивого развития».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4106" w:rsidRDefault="00E72CA6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Цель устойчивого развития № 6 </w:t>
      </w:r>
      <w:r>
        <w:rPr>
          <w:rFonts w:ascii="Times New Roman" w:hAnsi="Times New Roman" w:cs="Times New Roman"/>
          <w:bCs/>
          <w:sz w:val="30"/>
          <w:szCs w:val="30"/>
        </w:rPr>
        <w:t>«Обеспечение наличия и рационального использования водных ресурсов и санитарии для всех»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посвящена решению затрагивающих население проблем, которые касаются питьевой воды, санитарии и гигиены, а также защите связанных с водой экосистем.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Задача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6.6.: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 2020 году обеспечить охрану и восстановление связанных с водой экосистем, в том числе гор, лесов, водно-болотных угодий, рек, водоносных слоев и озер.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 глобальных индикаторов, избранных государствами-членами ООН для мониторинга достижения предусмотренной</w:t>
      </w:r>
      <w:r>
        <w:rPr>
          <w:rFonts w:ascii="Times New Roman" w:hAnsi="Times New Roman" w:cs="Times New Roman"/>
          <w:sz w:val="30"/>
          <w:szCs w:val="30"/>
        </w:rPr>
        <w:br/>
        <w:t xml:space="preserve">в ЦУР № 6 задач, является </w:t>
      </w:r>
      <w:r>
        <w:rPr>
          <w:rFonts w:ascii="Times New Roman" w:hAnsi="Times New Roman" w:cs="Times New Roman"/>
          <w:b/>
          <w:sz w:val="30"/>
          <w:szCs w:val="30"/>
        </w:rPr>
        <w:t xml:space="preserve">показатель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.1.,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как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«доля местных административных единиц, в которых действуют правила и процедуры участия граждан в управлении водными ресурсами и санитарией».</w:t>
      </w:r>
    </w:p>
    <w:p w:rsidR="00164106" w:rsidRDefault="001641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4106" w:rsidRDefault="00E72CA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Ориентиры ВОЗ и других организаций ООН </w:t>
      </w:r>
    </w:p>
    <w:p w:rsidR="00164106" w:rsidRDefault="00E72CA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об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угрозах и источникам рисков популяционному здоровью и данных для подготовки глобальных докладов </w:t>
      </w:r>
    </w:p>
    <w:p w:rsidR="00164106" w:rsidRDefault="00E72CA6">
      <w:pPr>
        <w:widowControl w:val="0"/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показателю ЦУР 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.1.</w:t>
      </w:r>
    </w:p>
    <w:p w:rsidR="00164106" w:rsidRDefault="00E72CA6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Рациональное использование водных ресурсов — это залог здоровья людей, а также экологической устойчивости и экономического процветания. Хотя запасов пресной воды на планете вполне достаточно, тем не менее, сегодня дефицит воды испытывает более 2 млрд. человек, и их число будет лишь увеличиваться в силу последствий изменения климата и роста численности населения.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всеобщего доступа к питьевой воде и санитарно-гигиеническим средствам и предоставления этих услуг с соблюдением требований безопасности по-прежнему остается сложной проблемой, </w:t>
      </w:r>
      <w:r>
        <w:rPr>
          <w:rFonts w:ascii="Times New Roman" w:hAnsi="Times New Roman" w:cs="Times New Roman"/>
          <w:sz w:val="30"/>
          <w:szCs w:val="30"/>
        </w:rPr>
        <w:lastRenderedPageBreak/>
        <w:t>тогда как от ее решения зависит дальнейший прогресс в областях здравоохранения, образования и ликвидации нищеты.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части решения задач, предусмотренных в Целях устойчивого развития, касающихся питьевого водоснабжения санитарии и </w:t>
      </w:r>
      <w:proofErr w:type="gramStart"/>
      <w:r>
        <w:rPr>
          <w:rFonts w:ascii="Times New Roman" w:hAnsi="Times New Roman" w:cs="Times New Roman"/>
          <w:sz w:val="30"/>
          <w:szCs w:val="30"/>
        </w:rPr>
        <w:t>гигиены,  Всемирная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организация здравоохранения (ВОЗ), взаимодействует с Детским фондом Организации Объединенных Наций (ЮНИСЕФ) через Совместную программу мониторинга водоснабжения, санитарии и гигиены (</w:t>
      </w:r>
      <w:r>
        <w:rPr>
          <w:rFonts w:ascii="Times New Roman" w:hAnsi="Times New Roman" w:cs="Times New Roman"/>
          <w:sz w:val="30"/>
          <w:szCs w:val="30"/>
          <w:lang w:val="en-US"/>
        </w:rPr>
        <w:t>WASH</w:t>
      </w:r>
      <w:r>
        <w:rPr>
          <w:rFonts w:ascii="Times New Roman" w:hAnsi="Times New Roman" w:cs="Times New Roman"/>
          <w:sz w:val="30"/>
          <w:szCs w:val="30"/>
        </w:rPr>
        <w:t>) (далее – СМП).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на СМП возложена обязанность вести мониторинг глобального прогресса в реализации задач </w:t>
      </w:r>
      <w:proofErr w:type="gramStart"/>
      <w:r>
        <w:rPr>
          <w:rFonts w:ascii="Times New Roman" w:hAnsi="Times New Roman" w:cs="Times New Roman"/>
          <w:sz w:val="30"/>
          <w:szCs w:val="30"/>
        </w:rPr>
        <w:t>6.1.,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касающейся питьевого водоснабжения, и задачи 6.2, касающейся санитарии и гигиены для всех как дома, так и в местах вне дома (например, в школах и лечебно-профилактических учреждениях).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Данный показатель определяется как использование улучшенного источника питьевой воды, который расположен в помещении или на прилегающей территории, присутствует и доступен, когда в нем есть необходимость, и не содержит бактериального загрязнения (отсутствие </w:t>
      </w: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coli</w:t>
      </w:r>
      <w:proofErr w:type="gramStart"/>
      <w:r>
        <w:rPr>
          <w:rFonts w:ascii="Times New Roman" w:hAnsi="Times New Roman" w:cs="Times New Roman"/>
          <w:sz w:val="30"/>
          <w:szCs w:val="30"/>
        </w:rPr>
        <w:t>) 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загрязнения приоритетными химическими веществами (мышьяк и фториды).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целей мониторинга достижения ЦУР улучшенные источники включают домашние подключения к водопроводу, общественные краны или колонки, скважины или трубчатые колодцы, защищенные копанные колодцы, защищенные родники, дождевую воду, воду, доставляемую автоцистернами, и воду в бутылках,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неулучшенным источникам ВОЗ относятся незащищенные копанные колодцы и родники.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 к аспектам улучшения доступности населения к безопасно организованным услугам питьевого водоснабжения также относит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бутилирование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питьевой воды.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аргумент, который актуален и по сей день – основное загрязнение и ухудшение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свойств  (</w:t>
      </w:r>
      <w:proofErr w:type="gramEnd"/>
      <w:r>
        <w:rPr>
          <w:rFonts w:ascii="Times New Roman" w:hAnsi="Times New Roman" w:cs="Times New Roman"/>
          <w:sz w:val="30"/>
          <w:szCs w:val="30"/>
        </w:rPr>
        <w:t>по различным данным от 50 до 80 %) вода приобретает по пути от скважины до водопроводного крана.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устранение этого фактора путем организации розлив воды «у устья скважины» в емкости очень чувствительный к химическому, физическому и микробиологическому загрязнению, что </w:t>
      </w:r>
      <w:proofErr w:type="gramStart"/>
      <w:r>
        <w:rPr>
          <w:rFonts w:ascii="Times New Roman" w:hAnsi="Times New Roman" w:cs="Times New Roman"/>
          <w:sz w:val="30"/>
          <w:szCs w:val="30"/>
        </w:rPr>
        <w:t>поставило  бутилированную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воду в ранг «трудных» продуктов, выпуск которого должен, как теперь стало очевидным, контролироваться  самыми строгими требованиями.</w:t>
      </w:r>
    </w:p>
    <w:p w:rsidR="00164106" w:rsidRDefault="00E72CA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t xml:space="preserve">Предлагаемый показатель </w:t>
      </w:r>
      <w:r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>.1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t>оценивает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t xml:space="preserve"> долю местных административных единиц (в соответствии с тем, как они определены национальным правительством), имеющих установленный и действующий механизм, посредством которого отдельные лица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lastRenderedPageBreak/>
        <w:t>сообщества могут внести весомый вклад в принятие решений и указаний относительно управления водоснабжением и санитарией.</w:t>
      </w:r>
    </w:p>
    <w:p w:rsidR="00164106" w:rsidRDefault="00E72CA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t>Показатель измеряется по доле стран с четко определенными в законодательстве процедурами или политикой участия пользователей / сообществ пользователей при планировании программы в области управления водоснабжением и санитарией и пропаганды гигиены, а также доля стран с высоким уровнем пользователей / сообществ, участвующих в программах планирования в области управления водоснабжением и санитарией и пропаганде гигиены.</w:t>
      </w:r>
    </w:p>
    <w:p w:rsidR="00164106" w:rsidRDefault="00E72CA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t>Определение процедур в политике или законодательстве для участия местных общин имеет жизненно важное значение для обеспечения удовлетворения потребностей всего сообщества, в том числе наиболее уязвимых, а также поощряет владение системами, которые, в свою очередь, способствуют их устойчивости.</w:t>
      </w:r>
    </w:p>
    <w:p w:rsidR="00164106" w:rsidRDefault="00E72CA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t>Участие заинтересованных сторон имеет важное значение для обеспечения устойчивости вариантов управления водоснабжением и санитарией с течением времени, например, выбор соответствующих решений для имеющегося социально-экономического контекста и полное понимание последствий определенного решения в области развития. Определение процедур политики или законодательства для участия местных общин имеет жизненно важное значение для обеспечения удовлетворения потребностей всего сообщества, в том числе наиболее уязвимых групп, а также поощряет владение системами, которые, в свою очередь, способствуют их устойчивости. К местным административным единицам относятся районы, сельские советы или другие единицы местного сообщества, охватывающие как городские, так и сельские районы, которые определяются правительством.</w:t>
      </w:r>
    </w:p>
    <w:p w:rsidR="00164106" w:rsidRDefault="00E72CA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t>Политика и процедуры для участия местных общин в управлении водоснабжением и санитарией определяют формальный механизм, обеспечивающий участие пользователей при планировании деятельности в области водоснабжения и санитарии. Политика или процедура считаются установленными, если механизм участия местных общин определен законом или официально утвержден и опубликован. Она считается действующей, если данная политика или процедура внедряется с надлежащим финансированием и средствами для проверки того, что участие имело место.</w:t>
      </w:r>
    </w:p>
    <w:p w:rsidR="00164106" w:rsidRDefault="00E72CA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  <w:t>«Вода и санитария» включают в себя все области управления, связанные с каждой из целей в рамках ЦУР 6: водоснабжение (6.1), санитария и гигиена (6.2), очистка сточных вод и качество природных водных ресурсов (6.3), эффективность и устойчивое использование (6.4), комплексное управление водными ресурсами (6.5), связанные с водой экосистемы (6.6).</w:t>
      </w:r>
    </w:p>
    <w:p w:rsidR="00164106" w:rsidRDefault="0016410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</w:pPr>
    </w:p>
    <w:p w:rsidR="00164106" w:rsidRDefault="0016410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en-GB" w:bidi="en-US"/>
        </w:rPr>
      </w:pPr>
    </w:p>
    <w:p w:rsidR="00164106" w:rsidRDefault="00E72CA6">
      <w:pPr>
        <w:pStyle w:val="afa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СТАРТОВЫЕ ПОЗИЦИИ Минской области</w:t>
      </w:r>
    </w:p>
    <w:p w:rsidR="00164106" w:rsidRDefault="00E72C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color w:val="000000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показателю ЦУР </w:t>
      </w:r>
      <w:r>
        <w:rPr>
          <w:rFonts w:ascii="Times New Roman" w:hAnsi="Times New Roman" w:cs="Times New Roman"/>
          <w:b/>
          <w:sz w:val="30"/>
          <w:szCs w:val="30"/>
        </w:rPr>
        <w:t>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.1. «Доля местных административных единиц, в которых действуют правила и процедуры участия граждан в управлении водными ресурсами и санитарией»</w:t>
      </w:r>
    </w:p>
    <w:p w:rsidR="00164106" w:rsidRDefault="0016410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Снабжение населения достаточной по объему, эпидемиологической безопасной, </w:t>
      </w:r>
      <w:proofErr w:type="gramStart"/>
      <w:r>
        <w:rPr>
          <w:rFonts w:ascii="Times New Roman" w:hAnsi="Times New Roman" w:cs="Times New Roman"/>
          <w:sz w:val="30"/>
          <w:szCs w:val="30"/>
        </w:rPr>
        <w:t>гигиенического  качества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и физиологически полноценной по составу питьевой водой является важным фактором общественного здоровья. 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решения проблем гигиены питьевого водоснабжения является весьма актуальной задачей, особенно в контексте </w:t>
      </w:r>
      <w:proofErr w:type="gramStart"/>
      <w:r>
        <w:rPr>
          <w:rFonts w:ascii="Times New Roman" w:hAnsi="Times New Roman" w:cs="Times New Roman"/>
          <w:sz w:val="30"/>
          <w:szCs w:val="30"/>
        </w:rPr>
        <w:t>исполнения  Государственной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программы Республики Беларусь «Здоровье народа и демографическая безопасность» на 2016-2020 годы. </w:t>
      </w:r>
    </w:p>
    <w:p w:rsidR="00164106" w:rsidRDefault="00E72CA6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числу актуальных разделов проблемного анализа обеспеченности населения доброкачественной питьевой водой и ее влияния на популяционное здоровье относятся оценка ресурсов подземных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питьевых  вод</w:t>
      </w:r>
      <w:proofErr w:type="gramEnd"/>
      <w:r>
        <w:rPr>
          <w:rFonts w:ascii="Times New Roman" w:hAnsi="Times New Roman" w:cs="Times New Roman"/>
          <w:sz w:val="30"/>
          <w:szCs w:val="30"/>
        </w:rPr>
        <w:t>, их качество, а также эпидемиологическая безопасность и гигиеническая надежность систем централизованного и децентрализованного водоснабжения.</w:t>
      </w:r>
    </w:p>
    <w:p w:rsidR="00164106" w:rsidRDefault="00E72CA6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Водные ресурсы Минской области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Национальной стратегии устойчивого социально-экономического развития Республики Беларусь на период до 2020 г. отмечено, что основная цель охраны и рационального использования водных ресурсов состоит в обеспечении населения водой необходимого санитарного качества и в достаточных количествах при сохранении гидрологических, биохимических и химических функций водных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экосистем.[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1]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проблема является актуальной и для Минской области. В 2013 г. в регионе изъятие воды из природных источников для использования составило 512 млн. м </w:t>
      </w:r>
      <w:proofErr w:type="gramStart"/>
      <w:r>
        <w:rPr>
          <w:rFonts w:ascii="Times New Roman" w:hAnsi="Times New Roman" w:cs="Times New Roman"/>
          <w:sz w:val="30"/>
          <w:szCs w:val="30"/>
        </w:rPr>
        <w:t>3 ,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sz w:val="30"/>
          <w:szCs w:val="30"/>
        </w:rPr>
        <w:t>. из подземных горизонтов 249 млн. м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 отметить, что Минская область по этому показателю является лидером в республике. Среди административных районов наибольшее изъятие воды из природных источников для использования характерно для Солигорского,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Вилейского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Минского районов (соответственно 94,7 млн. м</w:t>
      </w:r>
      <w:proofErr w:type="gramStart"/>
      <w:r>
        <w:rPr>
          <w:rFonts w:ascii="Times New Roman" w:hAnsi="Times New Roman" w:cs="Times New Roman"/>
          <w:sz w:val="30"/>
          <w:szCs w:val="30"/>
        </w:rPr>
        <w:t>3 ,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81,5 и 76,5 млн. м3 ), имеющих значительный промышленный и рекреационный потенциал. Использование воды в 2013 г. в области составило 313 млн. м</w:t>
      </w:r>
      <w:proofErr w:type="gramStart"/>
      <w:r>
        <w:rPr>
          <w:rFonts w:ascii="Times New Roman" w:hAnsi="Times New Roman" w:cs="Times New Roman"/>
          <w:sz w:val="30"/>
          <w:szCs w:val="30"/>
        </w:rPr>
        <w:t>3 ,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на производственные нужды 69,3 %, на хозяйственно-питьевые – 20,8 %, на орошение и сельское хозяйство – 9,9 %. Причем наблюдаются территориальные отличия в использовании воды.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Так, максимальные заборы воды характерны для Солигорского,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Вилейского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Любанского, Минского районов, минимальные – для Крупского,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Стародорожского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Узденского и Березинского районов. По данным департамента по гидрометеорологии в ряде бассейнов крупных рек и озер Минской области в результате увеличения антропогенной нагрузки отмечается устойчивая тенденция к возрастанию концентрации органических веществ, биогенных элементов (соединений азота и фосфора) и некоторых других загрязнений.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итогам мониторинга поверхностных вод самыми загрязненными в Минской области являются участки реки Свислочь ниже г. Минска (индекс загрязнения воды - 1,4), реки Березина ниже г. Борисова (ИЗВ - 1,1), а также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водохранилище.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Большинство рек региона относятся к категории умеренно-загрязненных. Использование водных ресурсов неотделимо от проблемы их загрязнения в результате производственно-хозяйственной деятельности человека. Ухудшение качества поверхностных вод в области обусловлено не только сбросами в них неочищенных или недостаточно очищенных промышленных и хозяйственно-бытовых стоков, но и поступлением ливневых и талых вод с урбанизированных территорий и </w:t>
      </w:r>
      <w:proofErr w:type="gramStart"/>
      <w:r>
        <w:rPr>
          <w:rFonts w:ascii="Times New Roman" w:hAnsi="Times New Roman" w:cs="Times New Roman"/>
          <w:sz w:val="30"/>
          <w:szCs w:val="30"/>
        </w:rPr>
        <w:t>сельско-хозяйственных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полей. С последними в водоемы попадает более половины всех биогенных, органических веществ и нефтепродуктов.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уменьшения сброса загрязняющих веществ и улучшения экологического состояния поверхностных водоемов Минской области необходимо обратить внимание на модернизацию существующих очистных сооружений, особенно в крупных городах.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регионе в 2013 году мощность очистных сооружений составила 271,4 млн. м3 в год (3-е место после г. Минска и Брестской области). Актуальной является проблема охраны не только поверхностных, но и подземных вод, которые служат основным источником водоснабжения и в значительной степени определяют качество среды обитания и здоровье человека. Высокая проницаемость пород обусловливает слабую защищенность подземных вод от поверхностного загрязнения, что сказывается на увеличении их минерализации, содержания в низ хлоридов, сульфатов, нитратного и аммонийного азота. Сильное загрязнение грунтовых и подземных вод происходит в результате деятельности промышленных предприятий, крупных животноводческих комплексов и ферм, а также в местах свалок. Неудовлетворительным является и санитарно-техническое состояние самих водозаборов, где отсутствует необходимая санитарная защита, не соблюдается режим зон санитарной охраны водозаборов.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результаты мониторинга поверхностных и подземных вод Минской области в 2013, а также анализ многолетних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наблюдений свидетельствуют о том, что антропогенному влиянию в наибольшей степени подвержены реки Свислочь и Березина, и районы функционирования промышленных предприятий. Приоритетными веществами, избыточные концентрации которых чаще других фиксируются в водных объектах области, являются биогенные, реже – органические. Относительно большое содержание тяжелых металлов (железо, медь, марганец, цинк) наблюдается в водах Минской области. 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Несмотря на достаточную обеспеченность водными ресурсами территории Минской области, все большую тревогу специалистов и общественности вызывают проблемы, связанные с антропогенными нагрузками на водные объекты. </w:t>
      </w:r>
      <w:proofErr w:type="spellStart"/>
      <w:r>
        <w:rPr>
          <w:rFonts w:eastAsiaTheme="minorHAnsi"/>
          <w:sz w:val="30"/>
          <w:szCs w:val="30"/>
          <w:lang w:eastAsia="en-US"/>
        </w:rPr>
        <w:t>Водообеспеченность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составляет 3,4 тыс. м3 на человека. Это выше, чем в таких странах Европы, как Англия (2,6), Бельгия и Люксембург (0,9), Болгария (2,0), Венгрия (0,8), Германия (1,3), Италия (2,8), Польша (2,2), Украина (1,0), Чехия (1,8) и др.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Однако если по </w:t>
      </w:r>
      <w:proofErr w:type="spellStart"/>
      <w:r>
        <w:rPr>
          <w:rFonts w:eastAsiaTheme="minorHAnsi"/>
          <w:sz w:val="30"/>
          <w:szCs w:val="30"/>
          <w:lang w:eastAsia="en-US"/>
        </w:rPr>
        <w:t>водообеспеченности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Минская область находится в сравнительно благоприятных условиях, то проблема качества природных вод является весьма острой, невзирая на уменьшение водоотведения и проводимую реконструкцию очистных сооружений.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Большинство рек относится к категории умеренно загрязненных (ИЗВ = 1--2,5). В категорию "загрязненные" (ИЗВ = 2,5--4) попадали участки рек Свислочи ниже г. Минска, </w:t>
      </w:r>
      <w:proofErr w:type="spellStart"/>
      <w:r>
        <w:rPr>
          <w:rFonts w:eastAsiaTheme="minorHAnsi"/>
          <w:sz w:val="30"/>
          <w:szCs w:val="30"/>
          <w:lang w:eastAsia="en-US"/>
        </w:rPr>
        <w:t>Лошицы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в г. Минске и некоторые др. В последние годы наблюдается увеличение ИЗВ по многим рекам, что на фоне сокращения объемов поступающих сточных вод свидетельствует о нарастании скорости вторичного загрязнения и деградации процессов самоочищения водоемов. Известно, что для нейтрализации 1 м3 очищенных сточных вод необходимо их 10--12-кратное разбавление чистыми природными водами, а загрязненные (неочищенные) стоки, которых за 1999 г. было сброшено 26 млн. м3, требуют 50-кратного разбавления.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Ухудшение качества поверхностных вод в республике обусловлено не только сбросами в них неочищенных или недостаточно очищенных промышленных и хозяйственно-бытовых стоков, но и поступлением ливневых и талых вод с урбанизированных территорий и сельскохозяйственных полей. С последними в водоемы попадает 50--60 % всех биогенных, органических веществ и нефтепродуктов.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Актуальной является проблема состояния подземных вод, которые служат основным источником водоснабжения и в значительной степени определяют качество среды обитания и здоровье населения. Высокая проницаемость пород обусловливает слабую защищенность подземных вод от поверхностного загрязнения, что сказывается на увеличении их минерализации, содержания в них хлоридов, сульфатов, нитратного и аммонийного азота.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lastRenderedPageBreak/>
        <w:t>Сильное загрязнение грунтовых и подземных вод происходит в районах промышленных центров, горнодобывающих предприятий, нефтехимических производств.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Загрязнение подземных вод наблюдается в районах размещения водозаборных скважин в селитебной зоне населенных пунктов, в районе очистных сооружений, свалок, животноводческих ферм и т.п. Неудовлетворительным является и санитарно-техническое состояние самих водозаборов, где отсутствует необходимая санитарная защита, не соблюдается режим зон санитарной охраны водозаборов.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Анализ данных радиоактивного мониторинга состояния природных вод свидетельствует о том, что концентрация радионуклидов в поверхностных водоемах республики не вызывает опасений. Максимальное их накопление приурочено к непроточным местам и донным отложениям.</w:t>
      </w:r>
    </w:p>
    <w:p w:rsidR="00164106" w:rsidRDefault="00E72CA6">
      <w:pPr>
        <w:pStyle w:val="af6"/>
        <w:spacing w:after="0" w:line="240" w:lineRule="auto"/>
        <w:ind w:firstLine="709"/>
        <w:rPr>
          <w:b/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Состояние природных вод республики требует совершенствования способов очистки сточных вод, создания вод сохранных зон, предотвращения попадания в водоемы стоков животноводческих комплексов, сокращения объемов водоотведения путем внедрения оборотных систем водоснабжения и т.п.</w:t>
      </w:r>
    </w:p>
    <w:p w:rsidR="00164106" w:rsidRDefault="00164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Угрозы популяционному здоровью, </w:t>
      </w:r>
      <w:r>
        <w:rPr>
          <w:rFonts w:ascii="Times New Roman" w:hAnsi="Times New Roman" w:cs="Times New Roman"/>
          <w:b/>
          <w:sz w:val="30"/>
          <w:szCs w:val="30"/>
        </w:rPr>
        <w:t>возникающие в случае невыполнения (отсутствия улучшения) показателя ЦУР 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.1.</w:t>
      </w:r>
    </w:p>
    <w:p w:rsidR="00164106" w:rsidRDefault="00164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363C"/>
          <w:sz w:val="30"/>
          <w:szCs w:val="30"/>
        </w:rPr>
      </w:pP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white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Безопасная вода – важный фактор, определяющий здоровье людей, независимо от того, используется ли она для питья, бытовых нужд, приготовления пищи или рекреационных целей.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Доступ к качественной и безопасной питьевой воде оказывает прямое влияние на здоровье человека, что, в свою очередь, оказывает влияние на такие демографические показатели, как инфекционную и неинфекционную заболеваемость и смертность.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Очевидно, что длительное использование питьевой воды с высоким уровнем загрязнения патогенными биологическими агентами бактериальной, вирусной и протозойной природы, химическими веществами природного и антропогенного характера является одной из причин развития различных заболеваний. 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Существенной угрозой популяционному здоровью является риск распространения чере</w:t>
      </w:r>
      <w:r>
        <w:rPr>
          <w:rFonts w:ascii="Times New Roman" w:hAnsi="Times New Roman" w:cs="Times New Roman"/>
          <w:color w:val="000000"/>
          <w:sz w:val="30"/>
          <w:szCs w:val="30"/>
        </w:rPr>
        <w:t>з воду энтеритов вирусного происхождения.</w:t>
      </w:r>
    </w:p>
    <w:p w:rsidR="00164106" w:rsidRDefault="00E72CA6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Исследования по области показывают, что существующие системы водоснабжения, особенно</w:t>
      </w:r>
      <w:r>
        <w:rPr>
          <w:rFonts w:ascii="Times New Roman" w:hAnsi="Times New Roman" w:cs="Times New Roman"/>
          <w:sz w:val="30"/>
          <w:szCs w:val="30"/>
        </w:rPr>
        <w:t xml:space="preserve"> в городах с открытыми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водоисточниками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являются весьма уязвимыми в плане возможного их загрязнения вирусными агентами. </w:t>
      </w:r>
    </w:p>
    <w:p w:rsidR="00164106" w:rsidRDefault="00E72CA6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этой связи актуализируется создание эффективно действующего вирусологического мониторинга, как составной части социально-гигиенического мониторинга в системе обеспечения безопасности питьевого водоснабжения на национальном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уровне,  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также  совершенствование и дальнейшее развитие нормативной базы, включающей вирусологические критерии контроля.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уменьшение загрязнения подземной питьевой воды, формирующегося в пределах свалок бытовых отходов и очистных сооружений, повышение санитарно-технической надежности водопроводных сетей и шахтных колодцев позволяет снизить риск   микробиологического и вирусологической контаминации, что будет вкладом в снижение общей инфекционной заболеваемости, общей детской заболеваемости, заболеваемости с временной утратой трудоспособности.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</w:t>
      </w:r>
      <w:r>
        <w:rPr>
          <w:rFonts w:ascii="Times New Roman" w:hAnsi="Times New Roman"/>
          <w:b/>
          <w:sz w:val="30"/>
          <w:szCs w:val="30"/>
        </w:rPr>
        <w:t xml:space="preserve">язвимость современного общества и популяции в связи с региональными рисками и угрозами здоровья, источники которых регулируются показателем </w:t>
      </w:r>
      <w:r>
        <w:rPr>
          <w:rFonts w:ascii="Times New Roman" w:hAnsi="Times New Roman" w:cs="Times New Roman"/>
          <w:b/>
          <w:sz w:val="30"/>
          <w:szCs w:val="30"/>
        </w:rPr>
        <w:t>ЦУР 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.1.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Доступ к питьевой воде имеет 100 % населения республики.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Обеспеченность централизованными системами водоснабжения городского населения – 98,7 %; сельского населения – 62,5 % (в том числе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83,4%).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причиной санитарного неблагополучия источников водоснабжения является отсутствие зон санитарной охраны.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Применяемые в настоящее время на водозаборных сооружениях технологии обеззараживания не гарантируют ее полную эпидемиологическую безопасность в отношении ряда вирусов, в первую очередь,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энтеровирусов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многих территориях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водоохранные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мероприятия  недостаточные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поэтому порядка 20 %  водозаборных скважин не обеспечены зонами строгого режима. Около 80 % коммунальных водопроводов не имеют необходимого комплекса очистных сооружений. Удельный вес загрязненных проб воды по микробиологическим показателям на ведомственных водопроводах выше более чем в 2 раза.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Наличие дефектов в системах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водораспределения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не выполнение установленных санитарно-гигиенических требований при их эксплуатации, а также перебои в водоснабжении напрямую связаны с недостаточной еще социальной ответственностью хозяйствующего сектора за качество питьевой воды, особенно в сельской местности. На протяжении многих лет нерешенной проблемой остается отсутствие должного текущего технического обслуживания сельских водопроводов, особенно ведомственного лабораторного контроля. Нарушаются графики или вообще долгие годы не проводятся планово-предупредительные ремонты оборудования, профилактические чистки и промывки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резервуаров, водонапорных башен и разводящих сетей. В результате до 45 % сельских водопроводов не отвечает санитарно-гигиеническим требованиям. Как правило, проектно-технологическая документация и схемы разводящих сетей сельских водопроводов устарели.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Передача сельских водопроводов на баланс жилищно-коммунальных хозяйств ведется медленными темпами.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Сложной остается ситуация с системой децентрализованного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водообеспечения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сельских жителей.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обслуживания общественных колодцев средств и сил недостаточно, профилактические 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ремонтные  работы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проводятся эпизодически по ситуациям. </w:t>
      </w:r>
    </w:p>
    <w:p w:rsidR="00164106" w:rsidRDefault="00E72C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Лабораторным контролем хвачено только пятая часть </w:t>
      </w:r>
      <w:r>
        <w:rPr>
          <w:rFonts w:ascii="Times New Roman" w:hAnsi="Times New Roman" w:cs="Times New Roman"/>
          <w:color w:val="000000"/>
          <w:sz w:val="30"/>
          <w:szCs w:val="30"/>
        </w:rPr>
        <w:t>источников децентрализованного водоснабжения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Из находящихся под контролем учреждений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госсаннадзора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общественных источников децентрализованного водоснабжения в 2018 </w:t>
      </w:r>
      <w:r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не отвечали установленным нормам 3,9 %,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доля исследованных проб, не соответствующих санитарным требованиям по санитарно-химическим показателям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–  </w:t>
      </w:r>
      <w:r>
        <w:rPr>
          <w:rFonts w:ascii="Times New Roman" w:eastAsia="SimSun" w:hAnsi="Times New Roman" w:cs="Times New Roman"/>
          <w:sz w:val="30"/>
          <w:szCs w:val="30"/>
          <w:lang w:eastAsia="zh-CN"/>
        </w:rPr>
        <w:t>28</w:t>
      </w:r>
      <w:proofErr w:type="gramEnd"/>
      <w:r>
        <w:rPr>
          <w:rFonts w:ascii="Times New Roman" w:eastAsia="SimSun" w:hAnsi="Times New Roman" w:cs="Times New Roman"/>
          <w:sz w:val="30"/>
          <w:szCs w:val="30"/>
          <w:lang w:eastAsia="zh-CN"/>
        </w:rPr>
        <w:t>,9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%, по микробиологическим – </w:t>
      </w:r>
      <w:r>
        <w:rPr>
          <w:rFonts w:ascii="Times New Roman" w:eastAsia="SimSun" w:hAnsi="Times New Roman" w:cs="Times New Roman"/>
          <w:sz w:val="30"/>
          <w:szCs w:val="30"/>
          <w:lang w:eastAsia="zh-CN"/>
        </w:rPr>
        <w:t>15,7 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%. Несоответствие качества воды в шахтных колодцах (повышенное содержание нитратов в питьевой воде в 25,8% в целом по республике) связано с нарушением санитарно-эпидемиологических требований при размещении, оборудовании и эксплуатации колодцев. </w:t>
      </w:r>
      <w:r>
        <w:rPr>
          <w:rFonts w:ascii="Times New Roman" w:eastAsia="SimSun" w:hAnsi="Times New Roman" w:cs="Times New Roman"/>
          <w:sz w:val="30"/>
          <w:szCs w:val="30"/>
          <w:lang w:eastAsia="zh-CN"/>
        </w:rPr>
        <w:t>Необходимо отметить, что большинство несоответствующих проб воды по содержанию нитратов (64,6%) находилось в пределах до 2 ПДК (до 90 мг/дм</w:t>
      </w:r>
      <w:r>
        <w:rPr>
          <w:rFonts w:ascii="Times New Roman" w:eastAsia="SimSun" w:hAnsi="Times New Roman" w:cs="Times New Roman"/>
          <w:sz w:val="30"/>
          <w:szCs w:val="30"/>
          <w:vertAlign w:val="superscript"/>
          <w:lang w:eastAsia="zh-CN"/>
        </w:rPr>
        <w:t>3</w:t>
      </w:r>
      <w:r>
        <w:rPr>
          <w:rFonts w:ascii="Times New Roman" w:eastAsia="SimSun" w:hAnsi="Times New Roman" w:cs="Times New Roman"/>
          <w:sz w:val="30"/>
          <w:szCs w:val="30"/>
          <w:lang w:eastAsia="zh-CN"/>
        </w:rPr>
        <w:t>), 21,6% проб – от 2 до 3 ПДК (90-135 мг/дм</w:t>
      </w:r>
      <w:r>
        <w:rPr>
          <w:rFonts w:ascii="Times New Roman" w:eastAsia="SimSun" w:hAnsi="Times New Roman" w:cs="Times New Roman"/>
          <w:sz w:val="30"/>
          <w:szCs w:val="30"/>
          <w:vertAlign w:val="superscript"/>
          <w:lang w:eastAsia="zh-CN"/>
        </w:rPr>
        <w:t>3</w:t>
      </w:r>
      <w:r>
        <w:rPr>
          <w:rFonts w:ascii="Times New Roman" w:eastAsia="SimSun" w:hAnsi="Times New Roman" w:cs="Times New Roman"/>
          <w:sz w:val="30"/>
          <w:szCs w:val="30"/>
          <w:lang w:eastAsia="zh-CN"/>
        </w:rPr>
        <w:t>), 10,3% - от 2 до 5 ПДК (135-225 мг/дм</w:t>
      </w:r>
      <w:r>
        <w:rPr>
          <w:rFonts w:ascii="Times New Roman" w:eastAsia="SimSun" w:hAnsi="Times New Roman" w:cs="Times New Roman"/>
          <w:sz w:val="30"/>
          <w:szCs w:val="30"/>
          <w:vertAlign w:val="superscript"/>
          <w:lang w:eastAsia="zh-CN"/>
        </w:rPr>
        <w:t>3</w:t>
      </w:r>
      <w:r>
        <w:rPr>
          <w:rFonts w:ascii="Times New Roman" w:eastAsia="SimSun" w:hAnsi="Times New Roman" w:cs="Times New Roman"/>
          <w:sz w:val="30"/>
          <w:szCs w:val="30"/>
          <w:lang w:eastAsia="zh-CN"/>
        </w:rPr>
        <w:t>) и только 3,5% нестандартных проб содержание нитратов было более 5 ПДК (225 мг/дм</w:t>
      </w:r>
      <w:r>
        <w:rPr>
          <w:rFonts w:ascii="Times New Roman" w:eastAsia="SimSun" w:hAnsi="Times New Roman" w:cs="Times New Roman"/>
          <w:sz w:val="30"/>
          <w:szCs w:val="30"/>
          <w:vertAlign w:val="superscript"/>
          <w:lang w:eastAsia="zh-CN"/>
        </w:rPr>
        <w:t>3</w:t>
      </w:r>
      <w:r>
        <w:rPr>
          <w:rFonts w:ascii="Times New Roman" w:eastAsia="SimSun" w:hAnsi="Times New Roman" w:cs="Times New Roman"/>
          <w:sz w:val="30"/>
          <w:szCs w:val="30"/>
          <w:lang w:eastAsia="zh-CN"/>
        </w:rPr>
        <w:t>).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Серьезную опасность для здоровья населения представляет неудовлетворительное качество воды водоемов.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изменяется к лучшему ситуация со сбросом в водоемы без очистки поверхностных сточных вод с территорий населенных мест и промышленных предприятий. Уровень санитарно-технического обеспечения сельских очистных сооружений остается низким: выявляются случаи несвоевременного текущего ремонта и очистки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биопрудов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сооружения не всегда обеспечивают полный цикл биологической очистки. Постоянно выявляются разрушенные очистные сооружения. Их строительство и реконструкции из-за недостатка средств часто приостанавливаются.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улучшения питьевого водоснабжения и качества воды водоемов в настоящее время реализуется </w:t>
      </w:r>
      <w:r>
        <w:rPr>
          <w:rFonts w:ascii="Times New Roman" w:hAnsi="Times New Roman" w:cs="Times New Roman"/>
          <w:b/>
          <w:i/>
          <w:sz w:val="30"/>
          <w:szCs w:val="30"/>
        </w:rPr>
        <w:t>Государственная программа «Комфортное жилье и благоприятная среда на 2016-2020 годы», подпрограммой 5 которой является «Чистая вода»,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предусматривающая комплекс мероприятий организационного, технического, экономического и правового характера.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особо отметить, что одним из элементов управления рисками и регулирования устойчивостью управления услугами, в том числе, в области водоснабжения и санитарии, является информирование о рисках. В соответствии со статьей 23 Закона Республики Беларусь от </w:t>
      </w:r>
      <w:r>
        <w:rPr>
          <w:rFonts w:ascii="Times New Roman" w:hAnsi="Times New Roman" w:cs="Times New Roman"/>
          <w:bCs/>
          <w:sz w:val="30"/>
          <w:szCs w:val="30"/>
        </w:rPr>
        <w:t>24 июня 1999 г. N 271-З «О питьевом водоснабжении» (в ред. от 09.01.2019 N 166-З) и</w:t>
      </w:r>
      <w:r>
        <w:rPr>
          <w:rFonts w:ascii="Times New Roman" w:hAnsi="Times New Roman" w:cs="Times New Roman"/>
          <w:bCs/>
          <w:iCs/>
          <w:sz w:val="30"/>
          <w:szCs w:val="30"/>
        </w:rPr>
        <w:t>нформация о соответствии подаваемой питьевой воды нормативам безопасности питьевой воды, прекращении или ограничении подачи питьевой воды, не соответствующей нормативам безопасности питьевой воды, а также о рекомендуемых действиях юридических и физических лиц, в том числе индивидуальных предпринимателей, в такой ситуации, способах экономии питьевой воды, порядке оплаты предоставленной услуги водоснабжения, об изменениях в организации учета расхода воды, о перспективном строительстве централизованных систем питьевого водоснабжения доводится местными исполнительными и распорядительными органами, организациями водопроводно-канализационного хозяйства до всеобщего сведения путем ее размещения в средствах массовой информации, на своих официальных сайтах в глобальной компьютерной сети Интернет или иными общедоступными способами».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Таким образом, с 2019 законодательно закреплено право на получение информации о качестве подаваемой воды, что позволяет гражданам, в том числе, принимать меры, например, по выбору оптимальных устройств водоподготовки и т.д.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развитие Закона принято постановление Совета Министров Республики Беларусь от 5 июля 2019 г. № 456 «О порядке предоставления информации в области питьевого водоснабжения», устанавливающее, что предоставление информации в области питьевого водоснабжения осуществляется местными исполнительными и распорядительными органами, организациями водопроводно-канализационного хозяйства путем ее размещения в средствах массовой информации, на официальных сайтах соответствующих государственных органов и организаций в глобальной компьютерной сети Интернет или иными общедоступными способами. В случае, если питьевая вода не соответствует нормативам безопасности питьевой воды, местные исполнительные и распорядительные органы, организации водопроводно-канализационного хозяйства в срок не более одних суток с момента выявления несоответствия информируют об этом юридических и физических лиц, индивидуальных предпринимателей, интересы которых могут быть затронуты в связи с таким несоответствием, с указанием сроков устранения данного несоответствия, а также о принятых решениях о </w:t>
      </w:r>
      <w:r>
        <w:rPr>
          <w:rFonts w:ascii="Times New Roman" w:hAnsi="Times New Roman" w:cs="Times New Roman"/>
          <w:sz w:val="30"/>
          <w:szCs w:val="30"/>
        </w:rPr>
        <w:lastRenderedPageBreak/>
        <w:t>прекращении или ограничении подачи питьевой воды, рекомендуемых действиях в такой ситуации, мерах предосторожности, способах дополнительной подготовки питьевой воды либо месте и времени ее отпуска.</w:t>
      </w:r>
    </w:p>
    <w:p w:rsidR="00164106" w:rsidRDefault="00164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164106" w:rsidRDefault="00E72CA6">
      <w:pPr>
        <w:pStyle w:val="afa"/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right="-1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МОНИТОРИНГ ПРОГРЕССА ДОСТИЖЕНИЯ</w:t>
      </w:r>
    </w:p>
    <w:p w:rsidR="00164106" w:rsidRDefault="00E72CA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 xml:space="preserve">ПОКАЗАТЕЛЯ </w:t>
      </w:r>
      <w:r>
        <w:rPr>
          <w:rFonts w:ascii="Times New Roman" w:hAnsi="Times New Roman" w:cs="Times New Roman"/>
          <w:b/>
          <w:sz w:val="30"/>
          <w:szCs w:val="30"/>
        </w:rPr>
        <w:t>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.1.</w:t>
      </w:r>
    </w:p>
    <w:p w:rsidR="00164106" w:rsidRDefault="00E72CA6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Ответственность за формирование информационно-аналитической базы по оценке Цели устойчивого развития № 6 определено Министерство природных ресурсов и охраны окружающей среды Республики Беларусь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 рамках Указа Президента Республики Беларусь А.Г. Лукашенко </w:t>
      </w:r>
      <w:r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№181 от 25 мая 2017 года «О Национальном координаторе по достижению Целей устойчивого развития».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Национализация показателей и индикаторов 6.1. –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6.6.,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6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6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Цели устойчивого развития № 6 осуществляется Национальным статистическим комитетом с участием Министерства природных ресурсов и охраны окружающей среды Республики Беларусь Министерства жилищно-коммунального хозяйства Республики Беларусь, Министерства здравоохранения Республики Беларусь, областных (Минского городского) исполнительных комитетов, Госстандарта и других ведомств в соответствии с компетенцией.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Национализация показателя ЦУР </w:t>
      </w:r>
      <w:r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>.1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осуществляется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также во взаимодействии с Всемирной организацией здравоохранения (ВОЗ) </w:t>
      </w:r>
      <w:r>
        <w:rPr>
          <w:rFonts w:ascii="Times New Roman" w:hAnsi="Times New Roman" w:cs="Times New Roman"/>
          <w:sz w:val="28"/>
          <w:szCs w:val="28"/>
        </w:rPr>
        <w:t xml:space="preserve">(ЮНИСЕФ)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как учреждений-кураторов через </w:t>
      </w:r>
      <w:r>
        <w:rPr>
          <w:rFonts w:ascii="Times New Roman" w:hAnsi="Times New Roman" w:cs="Times New Roman"/>
          <w:sz w:val="30"/>
          <w:szCs w:val="30"/>
        </w:rPr>
        <w:t>Совместную программу мониторинга водоснабжения, санитарии и гигиены (СМП)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рамках разработки </w:t>
      </w:r>
      <w:r>
        <w:rPr>
          <w:rFonts w:ascii="Times New Roman" w:hAnsi="Times New Roman" w:cs="Times New Roman"/>
          <w:sz w:val="30"/>
          <w:szCs w:val="30"/>
        </w:rPr>
        <w:t xml:space="preserve">формата данных для включения в глобальные доклады по достижению показателей ЦУР </w:t>
      </w: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6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Система сбора информации по показателю ЦУР </w:t>
      </w:r>
      <w:r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>.1.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>
        <w:rPr>
          <w:rFonts w:ascii="Times New Roman" w:hAnsi="Times New Roman"/>
          <w:sz w:val="30"/>
          <w:szCs w:val="30"/>
        </w:rPr>
        <w:t xml:space="preserve"> рамках деятельности органов и учреждений, осуществляющих государственный санитарный надзор, будет производиться на основе сбора через запрос административные данные Минздрава (запросы в территориальные органы и учреждения) в соответствии с приказом Министерства здравоохранения Республики Беларусь № 1177 от 15.11.2018  «О показателях и индикаторах Цели устойчивого развития»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Прогресс достижения показателя ЦУР </w:t>
      </w:r>
      <w:r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>.1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осуществляется</w:t>
      </w:r>
      <w:proofErr w:type="gramEnd"/>
      <w:r>
        <w:rPr>
          <w:rFonts w:ascii="Times New Roman" w:hAnsi="Times New Roman"/>
          <w:sz w:val="30"/>
          <w:szCs w:val="30"/>
        </w:rPr>
        <w:t xml:space="preserve"> в порядке, изложенном в  приложении 2 приказом Министерства здравоохранения Республики Беларусь № 1178 от 15.11.2018  «О системе работы органов и учреждений, осуществляющих государственный санитарный надзор по реализации показателей Целей устойчивого развития»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основу порядка разрабатываемой методики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расчета  национального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показателя ЦУР </w:t>
      </w:r>
      <w:r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(единица измерения) </w:t>
      </w:r>
      <w:r>
        <w:rPr>
          <w:rFonts w:ascii="Times New Roman" w:hAnsi="Times New Roman" w:cs="Times New Roman"/>
          <w:sz w:val="30"/>
          <w:szCs w:val="30"/>
        </w:rPr>
        <w:t xml:space="preserve">заложена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«оценка отношение (%) числа районов (городов областного </w:t>
      </w: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подчинения) области (республики), в которых действуют правила и процедуры участия граждан в управлении водными ресурсами, к общему числу районов (городов областного подчинения) области (республики)».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настоящее время органами и учреждениями, осуществляющие государственный санитарный надзор, в рамках ответственности за мониторинг показателя ЦУР </w:t>
      </w:r>
      <w:r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>.1</w:t>
      </w:r>
      <w:proofErr w:type="gramStart"/>
      <w:r>
        <w:rPr>
          <w:rFonts w:ascii="Times New Roman" w:hAnsi="Times New Roman" w:cs="Times New Roman"/>
          <w:sz w:val="30"/>
          <w:szCs w:val="30"/>
        </w:rPr>
        <w:t>. применяются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следующие показатели и индикаторы</w:t>
      </w:r>
      <w:r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color w:val="000000"/>
          <w:sz w:val="30"/>
          <w:szCs w:val="30"/>
        </w:rPr>
        <w:t>национальный</w:t>
      </w:r>
      <w:proofErr w:type="gramEnd"/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показатель;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color w:val="000000"/>
          <w:sz w:val="30"/>
          <w:szCs w:val="30"/>
        </w:rPr>
        <w:t>показатели</w:t>
      </w:r>
      <w:proofErr w:type="gramEnd"/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ВОЗ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совместно с ЮНИСЕФ в рамках  </w:t>
      </w:r>
      <w:r>
        <w:rPr>
          <w:rFonts w:ascii="Times New Roman" w:hAnsi="Times New Roman" w:cs="Times New Roman"/>
          <w:sz w:val="30"/>
          <w:szCs w:val="30"/>
        </w:rPr>
        <w:t xml:space="preserve">Совместной программы мониторинга водоснабжения, санитарии и гигиены (СМП)  </w:t>
      </w:r>
      <w:r>
        <w:rPr>
          <w:rFonts w:ascii="Times New Roman" w:hAnsi="Times New Roman" w:cs="Times New Roman"/>
          <w:i/>
          <w:sz w:val="30"/>
          <w:szCs w:val="30"/>
        </w:rPr>
        <w:t>(интегрированы с показателями ВОЗ: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- ЦУР 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</w:t>
      </w:r>
      <w:r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</w:rPr>
        <w:t xml:space="preserve">- ЦУР </w:t>
      </w:r>
      <w:r>
        <w:rPr>
          <w:rFonts w:ascii="Times New Roman" w:hAnsi="Times New Roman" w:cs="Times New Roman"/>
          <w:i/>
          <w:sz w:val="30"/>
          <w:szCs w:val="30"/>
        </w:rPr>
        <w:t>3.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i/>
          <w:sz w:val="30"/>
          <w:szCs w:val="30"/>
        </w:rPr>
        <w:t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здравоохранения»);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color w:val="000000"/>
          <w:sz w:val="30"/>
          <w:szCs w:val="30"/>
        </w:rPr>
        <w:t>косвенные</w:t>
      </w:r>
      <w:proofErr w:type="gramEnd"/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показатели на основе баз данных территориальных органов управления и субъектов социально-экономической деятельностью </w:t>
      </w:r>
      <w:r>
        <w:rPr>
          <w:rFonts w:ascii="Times New Roman" w:hAnsi="Times New Roman" w:cs="Times New Roman"/>
          <w:color w:val="000000"/>
          <w:sz w:val="30"/>
          <w:szCs w:val="30"/>
        </w:rPr>
        <w:t>(косвенные показатели территориальных баз данных);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color w:val="000000"/>
          <w:sz w:val="30"/>
          <w:szCs w:val="30"/>
        </w:rPr>
        <w:t>косвенные</w:t>
      </w:r>
      <w:proofErr w:type="gramEnd"/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показатели на основе номенклатуры исследований и оценок, регулируемых техническими (локальными) нормативными правовыми актами Министерства  здравоохранения Республики 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(ТНПА) 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 xml:space="preserve">(интегрированы с косвенными показателями: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ЦУР 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</w:t>
      </w:r>
      <w:r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ЦУР </w:t>
      </w:r>
      <w:r>
        <w:rPr>
          <w:rFonts w:ascii="Times New Roman" w:hAnsi="Times New Roman" w:cs="Times New Roman"/>
          <w:i/>
          <w:sz w:val="30"/>
          <w:szCs w:val="30"/>
        </w:rPr>
        <w:t>3.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i/>
          <w:sz w:val="30"/>
          <w:szCs w:val="30"/>
        </w:rPr>
        <w:t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здравоохранения»);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/>
          <w:b/>
          <w:sz w:val="30"/>
          <w:szCs w:val="30"/>
        </w:rPr>
        <w:t>индикаторы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управленческих решений в соответствии с п.4.2. «Системы работы органов и учреждений, осуществляющих государственный санитарный надзор, по реализации показателей Целей устойчивого развития»</w:t>
      </w:r>
      <w:r>
        <w:rPr>
          <w:rFonts w:ascii="Times New Roman" w:hAnsi="Times New Roman"/>
          <w:sz w:val="30"/>
          <w:szCs w:val="30"/>
        </w:rPr>
        <w:t xml:space="preserve">, утвержденной приказом Министерства здравоохранения Республики Беларусь №1178 от 15.1.2018 г. </w:t>
      </w:r>
      <w:r>
        <w:rPr>
          <w:rFonts w:ascii="Times New Roman" w:hAnsi="Times New Roman" w:cs="Times New Roman"/>
          <w:i/>
          <w:sz w:val="30"/>
          <w:szCs w:val="30"/>
        </w:rPr>
        <w:t>(интегрированы с индикаторами управленческих решений показателей: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ЦУР 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</w:t>
      </w:r>
      <w:r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</w:p>
    <w:p w:rsidR="00164106" w:rsidRDefault="00E72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</w:rPr>
        <w:lastRenderedPageBreak/>
        <w:t xml:space="preserve">ЦУР </w:t>
      </w:r>
      <w:r>
        <w:rPr>
          <w:rFonts w:ascii="Times New Roman" w:hAnsi="Times New Roman" w:cs="Times New Roman"/>
          <w:i/>
          <w:sz w:val="30"/>
          <w:szCs w:val="30"/>
        </w:rPr>
        <w:t>3.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i/>
          <w:sz w:val="30"/>
          <w:szCs w:val="30"/>
        </w:rPr>
        <w:t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здравоохранения»).</w:t>
      </w:r>
    </w:p>
    <w:p w:rsidR="00164106" w:rsidRDefault="001641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64106" w:rsidRDefault="00E72C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ЦУР </w:t>
      </w:r>
      <w:r>
        <w:rPr>
          <w:rFonts w:ascii="Times New Roman" w:hAnsi="Times New Roman" w:cs="Times New Roman"/>
          <w:b/>
          <w:sz w:val="30"/>
          <w:szCs w:val="30"/>
        </w:rPr>
        <w:t>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.1. – Косвенные показатели территориальных баз данных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населения, использующего безопасно организованные услуги питьевого водоснабжения;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вес систем водоснабжения и водоотведения, имеющие проектную документацию;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вес систем водоснабжения и водоотведения, охваченных централизованным специализированным техническим обслуживанием;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вес систем водоснабжения и водоотведения, переданных на баланс территориальных субъектов жилищно-коммунальной деятельности;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общей площади жилого фонда, оборудованного: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-  </w:t>
      </w:r>
      <w:r>
        <w:rPr>
          <w:rFonts w:ascii="Times New Roman" w:hAnsi="Times New Roman" w:cs="Times New Roman"/>
          <w:i/>
          <w:sz w:val="30"/>
          <w:szCs w:val="30"/>
        </w:rPr>
        <w:t>водопроводом;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-  канализацией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57" w:firstLine="68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общей площади жилого фонда в городских поселениях, оборудованного: 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i/>
          <w:sz w:val="30"/>
          <w:szCs w:val="30"/>
        </w:rPr>
        <w:t>- водопроводом;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- канализацией;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общей площади жилого фонда в сельской местности, оборудованного: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i/>
          <w:sz w:val="30"/>
          <w:szCs w:val="30"/>
        </w:rPr>
        <w:t>- водопроводом;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- канализацией;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ввод</w:t>
      </w:r>
      <w:proofErr w:type="gramEnd"/>
      <w:r>
        <w:rPr>
          <w:rFonts w:ascii="Times New Roman" w:hAnsi="Times New Roman"/>
          <w:sz w:val="30"/>
          <w:szCs w:val="30"/>
        </w:rPr>
        <w:t xml:space="preserve"> в действие сетей (в километрах) за счет всех источников финансирования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i/>
          <w:sz w:val="30"/>
          <w:szCs w:val="30"/>
        </w:rPr>
        <w:t>- водопроводом;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- канализацией;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/>
          <w:b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ввод</w:t>
      </w:r>
      <w:proofErr w:type="gramEnd"/>
      <w:r>
        <w:rPr>
          <w:rFonts w:ascii="Times New Roman" w:hAnsi="Times New Roman"/>
          <w:sz w:val="30"/>
          <w:szCs w:val="30"/>
        </w:rPr>
        <w:t xml:space="preserve"> в действие сетей (в километрах) за счет государственных  источников финансирования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i/>
          <w:sz w:val="30"/>
          <w:szCs w:val="30"/>
        </w:rPr>
        <w:t>- водопроводом;</w:t>
      </w:r>
    </w:p>
    <w:p w:rsidR="00164106" w:rsidRDefault="00E72CA6">
      <w:pPr>
        <w:pStyle w:val="afa"/>
        <w:spacing w:after="0"/>
        <w:ind w:left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- канализацией;</w:t>
      </w:r>
    </w:p>
    <w:p w:rsidR="00164106" w:rsidRDefault="00E72CA6">
      <w:pPr>
        <w:pStyle w:val="3"/>
        <w:numPr>
          <w:ilvl w:val="0"/>
          <w:numId w:val="8"/>
        </w:numPr>
        <w:tabs>
          <w:tab w:val="left" w:pos="394"/>
        </w:tabs>
        <w:spacing w:before="0" w:after="0" w:line="240" w:lineRule="auto"/>
        <w:ind w:left="0" w:firstLine="737"/>
        <w:rPr>
          <w:rFonts w:ascii="Times New Roman" w:hAnsi="Times New Roman"/>
          <w:i/>
          <w:sz w:val="30"/>
          <w:szCs w:val="30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sz w:val="30"/>
          <w:szCs w:val="30"/>
          <w:lang w:eastAsia="en-US"/>
        </w:rPr>
        <w:t>инвестиции</w:t>
      </w:r>
      <w:proofErr w:type="gramEnd"/>
      <w:r>
        <w:rPr>
          <w:rFonts w:ascii="Times New Roman" w:hAnsi="Times New Roman"/>
          <w:b w:val="0"/>
          <w:bCs w:val="0"/>
          <w:sz w:val="30"/>
          <w:szCs w:val="30"/>
          <w:lang w:eastAsia="en-US"/>
        </w:rPr>
        <w:t xml:space="preserve">, направленные на организацию систем водоснабжения и водоотведения </w:t>
      </w:r>
      <w:r>
        <w:rPr>
          <w:rFonts w:ascii="Times New Roman" w:hAnsi="Times New Roman"/>
          <w:b w:val="0"/>
          <w:bCs w:val="0"/>
          <w:i/>
          <w:sz w:val="30"/>
          <w:szCs w:val="30"/>
          <w:lang w:eastAsia="en-US"/>
        </w:rPr>
        <w:t>(в млн. руб. в сопоставимых ценах)</w:t>
      </w:r>
      <w:r>
        <w:rPr>
          <w:rFonts w:ascii="Times New Roman" w:hAnsi="Times New Roman"/>
          <w:b w:val="0"/>
          <w:bCs w:val="0"/>
          <w:sz w:val="30"/>
          <w:szCs w:val="30"/>
          <w:lang w:eastAsia="en-US"/>
        </w:rPr>
        <w:t xml:space="preserve">; </w:t>
      </w:r>
    </w:p>
    <w:p w:rsidR="00164106" w:rsidRDefault="00E72CA6">
      <w:pPr>
        <w:pStyle w:val="3"/>
        <w:numPr>
          <w:ilvl w:val="0"/>
          <w:numId w:val="8"/>
        </w:numPr>
        <w:tabs>
          <w:tab w:val="left" w:pos="394"/>
        </w:tabs>
        <w:spacing w:before="0" w:after="0" w:line="240" w:lineRule="auto"/>
        <w:ind w:left="0" w:firstLine="737"/>
        <w:rPr>
          <w:rFonts w:ascii="Times New Roman" w:hAnsi="Times New Roman"/>
          <w:i/>
          <w:sz w:val="30"/>
          <w:szCs w:val="30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sz w:val="30"/>
          <w:szCs w:val="30"/>
        </w:rPr>
        <w:t>ввод</w:t>
      </w:r>
      <w:proofErr w:type="gramEnd"/>
      <w:r>
        <w:rPr>
          <w:rFonts w:ascii="Times New Roman" w:hAnsi="Times New Roman"/>
          <w:b w:val="0"/>
          <w:bCs w:val="0"/>
          <w:sz w:val="30"/>
          <w:szCs w:val="30"/>
        </w:rPr>
        <w:t xml:space="preserve"> в действие мощностей станций и сооружений для очистки </w:t>
      </w:r>
      <w:r>
        <w:rPr>
          <w:rFonts w:ascii="Times New Roman" w:hAnsi="Times New Roman"/>
          <w:b w:val="0"/>
          <w:bCs w:val="0"/>
          <w:sz w:val="30"/>
          <w:szCs w:val="30"/>
        </w:rPr>
        <w:lastRenderedPageBreak/>
        <w:t xml:space="preserve">сточных вод </w:t>
      </w:r>
      <w:r>
        <w:rPr>
          <w:rFonts w:ascii="Times New Roman" w:hAnsi="Times New Roman"/>
          <w:b w:val="0"/>
          <w:bCs w:val="0"/>
          <w:i/>
          <w:sz w:val="30"/>
          <w:szCs w:val="30"/>
        </w:rPr>
        <w:t>(в тыс. м</w:t>
      </w:r>
      <w:r>
        <w:rPr>
          <w:rFonts w:ascii="Times New Roman" w:hAnsi="Times New Roman"/>
          <w:b w:val="0"/>
          <w:bCs w:val="0"/>
          <w:i/>
          <w:sz w:val="30"/>
          <w:szCs w:val="30"/>
          <w:vertAlign w:val="superscript"/>
        </w:rPr>
        <w:t>3</w:t>
      </w:r>
      <w:r>
        <w:rPr>
          <w:rFonts w:ascii="Times New Roman" w:hAnsi="Times New Roman"/>
          <w:b w:val="0"/>
          <w:bCs w:val="0"/>
          <w:i/>
          <w:sz w:val="30"/>
          <w:szCs w:val="30"/>
        </w:rPr>
        <w:t xml:space="preserve"> в сутки)</w:t>
      </w:r>
      <w:r>
        <w:rPr>
          <w:rFonts w:ascii="Times New Roman" w:hAnsi="Times New Roman"/>
          <w:b w:val="0"/>
          <w:bCs w:val="0"/>
          <w:sz w:val="30"/>
          <w:szCs w:val="30"/>
        </w:rPr>
        <w:t>;</w:t>
      </w:r>
    </w:p>
    <w:p w:rsidR="00164106" w:rsidRDefault="00E72CA6">
      <w:pPr>
        <w:pStyle w:val="3"/>
        <w:numPr>
          <w:ilvl w:val="0"/>
          <w:numId w:val="8"/>
        </w:numPr>
        <w:tabs>
          <w:tab w:val="left" w:pos="394"/>
        </w:tabs>
        <w:spacing w:before="0" w:after="0" w:line="240" w:lineRule="auto"/>
        <w:ind w:left="0" w:firstLine="737"/>
        <w:rPr>
          <w:rFonts w:ascii="Times New Roman" w:hAnsi="Times New Roman"/>
          <w:i/>
          <w:sz w:val="30"/>
          <w:szCs w:val="30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sz w:val="30"/>
          <w:szCs w:val="30"/>
        </w:rPr>
        <w:t>текущие</w:t>
      </w:r>
      <w:proofErr w:type="gramEnd"/>
      <w:r>
        <w:rPr>
          <w:rFonts w:ascii="Times New Roman" w:hAnsi="Times New Roman"/>
          <w:b w:val="0"/>
          <w:bCs w:val="0"/>
          <w:sz w:val="30"/>
          <w:szCs w:val="30"/>
        </w:rPr>
        <w:t xml:space="preserve"> затраты (в тыс. руб.) на охрану окружающей среды</w:t>
      </w:r>
    </w:p>
    <w:p w:rsidR="00164106" w:rsidRDefault="00E72CA6">
      <w:pPr>
        <w:pStyle w:val="afa"/>
        <w:spacing w:after="0"/>
        <w:ind w:left="360"/>
        <w:jc w:val="lef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sz w:val="30"/>
          <w:szCs w:val="30"/>
        </w:rPr>
        <w:t xml:space="preserve">            - </w:t>
      </w:r>
      <w:r>
        <w:rPr>
          <w:rFonts w:ascii="Times New Roman" w:hAnsi="Times New Roman"/>
          <w:i/>
          <w:sz w:val="30"/>
          <w:szCs w:val="30"/>
        </w:rPr>
        <w:t>всего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:rsidR="00164106" w:rsidRDefault="00E72CA6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                - на </w:t>
      </w:r>
      <w:r>
        <w:rPr>
          <w:rFonts w:ascii="Times New Roman" w:hAnsi="Times New Roman" w:cs="Times New Roman"/>
          <w:i/>
          <w:sz w:val="30"/>
          <w:szCs w:val="30"/>
        </w:rPr>
        <w:t>рациональное использование водных ресурсов.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(%) централизованных систем питьевого водоснабжения, информация о соответствии которых гигиеническим нормативам доступна населению не реже 1 раза в квартал;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(%) территорий, предоставляющих </w:t>
      </w:r>
      <w:r>
        <w:rPr>
          <w:rFonts w:ascii="Times New Roman" w:hAnsi="Times New Roman"/>
          <w:sz w:val="30"/>
          <w:szCs w:val="30"/>
          <w:lang w:val="be-BY"/>
        </w:rPr>
        <w:t>информацию о соответствии гигиеническим нормативам воды общественных децентрализованных источниках питьевого водоснабжения не реже 1 раза в квартал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(%) территорий, предоставляющих </w:t>
      </w:r>
      <w:r>
        <w:rPr>
          <w:rFonts w:ascii="Times New Roman" w:hAnsi="Times New Roman"/>
          <w:sz w:val="30"/>
          <w:szCs w:val="30"/>
          <w:lang w:val="be-BY"/>
        </w:rPr>
        <w:t>информацию о соответствии воды в зонах рекреации гигиеническим нормативам в течение рекреационного периода еженедельно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(%) рекреационных зон, размещающих</w:t>
      </w:r>
      <w:r>
        <w:rPr>
          <w:rFonts w:ascii="Times New Roman" w:hAnsi="Times New Roman"/>
          <w:sz w:val="30"/>
          <w:szCs w:val="30"/>
          <w:lang w:val="be-BY"/>
        </w:rPr>
        <w:t xml:space="preserve"> актуальную информацию </w:t>
      </w:r>
      <w:r>
        <w:rPr>
          <w:rFonts w:ascii="Times New Roman" w:hAnsi="Times New Roman" w:cs="Times New Roman"/>
          <w:sz w:val="30"/>
          <w:szCs w:val="30"/>
        </w:rPr>
        <w:t>о результатах исследований воды поверхностных водных объектов и рисках для здоровья на информационном стенде зоны рекреации (</w:t>
      </w:r>
      <w:r>
        <w:rPr>
          <w:rFonts w:ascii="Times New Roman" w:hAnsi="Times New Roman"/>
          <w:sz w:val="30"/>
          <w:szCs w:val="30"/>
          <w:lang w:val="be-BY"/>
        </w:rPr>
        <w:t>кратность согласно ТНПА)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(%) территорий, </w:t>
      </w:r>
      <w:r>
        <w:rPr>
          <w:rFonts w:ascii="Times New Roman" w:hAnsi="Times New Roman"/>
          <w:sz w:val="30"/>
          <w:szCs w:val="30"/>
        </w:rPr>
        <w:t xml:space="preserve">имеющих на </w:t>
      </w:r>
      <w:r>
        <w:rPr>
          <w:rFonts w:ascii="Times New Roman" w:hAnsi="Times New Roman"/>
          <w:sz w:val="30"/>
          <w:szCs w:val="30"/>
          <w:lang w:val="be-BY"/>
        </w:rPr>
        <w:t>сайтах территориальных учреждений, осуществляющих государственный санитарный надзор, информационный ресурс о рисках для здоровья, связанных с питьевой водой, гигиенической значимости основных показателей безопасности питьевой воды (справочный ресурс)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(%) домашних хозяйств, </w:t>
      </w:r>
      <w:r>
        <w:rPr>
          <w:rFonts w:ascii="Times New Roman" w:hAnsi="Times New Roman"/>
          <w:sz w:val="30"/>
          <w:szCs w:val="30"/>
        </w:rPr>
        <w:t xml:space="preserve">использующих для доочистки воды бытовые/локальные устройства водоподготовки </w:t>
      </w:r>
      <w:r>
        <w:rPr>
          <w:rFonts w:ascii="Times New Roman" w:hAnsi="Times New Roman"/>
          <w:sz w:val="30"/>
          <w:szCs w:val="30"/>
          <w:lang w:val="be-BY"/>
        </w:rPr>
        <w:t xml:space="preserve"> (по аналитико-экспертным оценкам)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(%) семей, </w:t>
      </w:r>
      <w:r>
        <w:rPr>
          <w:rFonts w:ascii="Times New Roman" w:hAnsi="Times New Roman"/>
          <w:sz w:val="30"/>
          <w:szCs w:val="30"/>
        </w:rPr>
        <w:t>использующих упакованные воды</w:t>
      </w:r>
      <w:r>
        <w:rPr>
          <w:rFonts w:ascii="Times New Roman" w:hAnsi="Times New Roman"/>
          <w:sz w:val="30"/>
          <w:szCs w:val="30"/>
          <w:lang w:val="be-BY"/>
        </w:rPr>
        <w:t xml:space="preserve"> (по экспертным оценкам)</w:t>
      </w:r>
    </w:p>
    <w:p w:rsidR="00164106" w:rsidRDefault="00E72CA6">
      <w:pPr>
        <w:pStyle w:val="afa"/>
        <w:numPr>
          <w:ilvl w:val="0"/>
          <w:numId w:val="8"/>
        </w:numPr>
        <w:spacing w:after="0"/>
        <w:ind w:left="0" w:firstLine="73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удельный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вес общежитий (%), где обеспечена разводка  питьевой воды по кухням и умывальникам в комнатам, :</w:t>
      </w:r>
    </w:p>
    <w:p w:rsidR="00164106" w:rsidRDefault="00E72CA6">
      <w:pPr>
        <w:spacing w:after="0"/>
        <w:jc w:val="left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- холодной воды</w:t>
      </w:r>
    </w:p>
    <w:p w:rsidR="00164106" w:rsidRDefault="00E72CA6">
      <w:pPr>
        <w:pStyle w:val="afa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- горячей воды</w:t>
      </w:r>
    </w:p>
    <w:p w:rsidR="00164106" w:rsidRDefault="0016410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64106" w:rsidRDefault="00E72CA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ЦУР </w:t>
      </w:r>
      <w:r>
        <w:rPr>
          <w:rFonts w:ascii="Times New Roman" w:hAnsi="Times New Roman" w:cs="Times New Roman"/>
          <w:b/>
          <w:sz w:val="30"/>
          <w:szCs w:val="30"/>
        </w:rPr>
        <w:t>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 xml:space="preserve">.1. – Косвенные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показатели ТНПА  </w:t>
      </w:r>
    </w:p>
    <w:p w:rsidR="00164106" w:rsidRDefault="001641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ff9"/>
        <w:tblW w:w="9570" w:type="dxa"/>
        <w:tblLook w:val="04A0" w:firstRow="1" w:lastRow="0" w:firstColumn="1" w:lastColumn="0" w:noHBand="0" w:noVBand="1"/>
      </w:tblPr>
      <w:tblGrid>
        <w:gridCol w:w="5636"/>
        <w:gridCol w:w="3934"/>
      </w:tblGrid>
      <w:tr w:rsidR="00164106">
        <w:trPr>
          <w:trHeight w:val="371"/>
        </w:trPr>
        <w:tc>
          <w:tcPr>
            <w:tcW w:w="5635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Показатель</w:t>
            </w:r>
          </w:p>
        </w:tc>
        <w:tc>
          <w:tcPr>
            <w:tcW w:w="3934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Обоснование </w:t>
            </w:r>
          </w:p>
        </w:tc>
      </w:tr>
      <w:tr w:rsidR="00164106">
        <w:tc>
          <w:tcPr>
            <w:tcW w:w="5635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(%) удельный вес источников централизованного водоснабжения, не отвечавшие требованиям санитарных норм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:rsidR="00164106" w:rsidRDefault="00E72CA6">
            <w:pPr>
              <w:pStyle w:val="af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Отражают риски здоровью, связанные с состоянием систем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водообеспечения</w:t>
            </w:r>
            <w:proofErr w:type="spellEnd"/>
          </w:p>
          <w:p w:rsidR="00164106" w:rsidRDefault="00164106">
            <w:pPr>
              <w:pStyle w:val="af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164106" w:rsidRDefault="00164106">
            <w:pPr>
              <w:pStyle w:val="af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4106" w:rsidRDefault="00164106">
            <w:pPr>
              <w:pStyle w:val="af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4106" w:rsidRDefault="00164106">
            <w:pPr>
              <w:pStyle w:val="af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4106">
        <w:tc>
          <w:tcPr>
            <w:tcW w:w="5635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(%) удельный вес источников, у которых отсутствуют зоны санитарной охраны </w:t>
            </w:r>
          </w:p>
        </w:tc>
        <w:tc>
          <w:tcPr>
            <w:tcW w:w="3934" w:type="dxa"/>
            <w:vMerge/>
            <w:shd w:val="clear" w:color="auto" w:fill="auto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4106">
        <w:tc>
          <w:tcPr>
            <w:tcW w:w="5635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(%) удельный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вес  проб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воды, несоответствующих гигиеническим требованиям по микробиологическим показателям:</w:t>
            </w:r>
          </w:p>
          <w:p w:rsidR="00164106" w:rsidRDefault="00E72CA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- коммунальных водопроводов;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      - ведомственных водопроводов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64106">
        <w:tc>
          <w:tcPr>
            <w:tcW w:w="5635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(%) удельный вес проб воды, несоответствующих гигиеническим требованиям по санитарно-химическим показателям:</w:t>
            </w:r>
          </w:p>
          <w:p w:rsidR="00164106" w:rsidRDefault="00E72CA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- коммунальных водопроводов;</w:t>
            </w:r>
          </w:p>
          <w:p w:rsidR="00164106" w:rsidRDefault="00E72CA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- ведомственных водопроводов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64106">
        <w:tc>
          <w:tcPr>
            <w:tcW w:w="5635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(%) удельный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вес  источников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нецентрализованного водоснабжения, не отвечавшие требованиям санитарных норм    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164106" w:rsidRDefault="001641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4106" w:rsidRDefault="00E72C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Индикаторы управленческих решений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для  оценки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деятельности по достижению показателя ЦУР </w:t>
      </w:r>
      <w:r>
        <w:rPr>
          <w:rFonts w:ascii="Times New Roman" w:hAnsi="Times New Roman" w:cs="Times New Roman"/>
          <w:b/>
          <w:sz w:val="30"/>
          <w:szCs w:val="30"/>
        </w:rPr>
        <w:t>6.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b/>
          <w:sz w:val="30"/>
          <w:szCs w:val="30"/>
        </w:rPr>
        <w:t>.1.</w:t>
      </w:r>
    </w:p>
    <w:p w:rsidR="00164106" w:rsidRDefault="001641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f9"/>
        <w:tblW w:w="9469" w:type="dxa"/>
        <w:tblInd w:w="109" w:type="dxa"/>
        <w:tblLook w:val="04A0" w:firstRow="1" w:lastRow="0" w:firstColumn="1" w:lastColumn="0" w:noHBand="0" w:noVBand="1"/>
      </w:tblPr>
      <w:tblGrid>
        <w:gridCol w:w="5530"/>
        <w:gridCol w:w="3939"/>
      </w:tblGrid>
      <w:tr w:rsidR="00164106">
        <w:trPr>
          <w:trHeight w:val="407"/>
        </w:trPr>
        <w:tc>
          <w:tcPr>
            <w:tcW w:w="5529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3939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</w:t>
            </w:r>
          </w:p>
        </w:tc>
      </w:tr>
      <w:tr w:rsidR="00164106">
        <w:tc>
          <w:tcPr>
            <w:tcW w:w="5529" w:type="dxa"/>
            <w:shd w:val="clear" w:color="auto" w:fill="auto"/>
          </w:tcPr>
          <w:p w:rsidR="00164106" w:rsidRDefault="00E72CA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1.28.  Состояние водных объектов в местах водопользования населения (удельный вес проб воды):</w:t>
            </w:r>
          </w:p>
          <w:p w:rsidR="00164106" w:rsidRDefault="00E72CA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1.28.1 – водоемы первой категории:</w:t>
            </w:r>
          </w:p>
          <w:p w:rsidR="00164106" w:rsidRDefault="00E72CA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1.28.1.1 – по санитарно-химическим показателям;</w:t>
            </w:r>
          </w:p>
          <w:p w:rsidR="00164106" w:rsidRDefault="00E72CA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1.28.1.2 – по микробиологическим показателям;</w:t>
            </w:r>
          </w:p>
          <w:p w:rsidR="00164106" w:rsidRDefault="00E72CA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1.28.2 – водоемы второй категории:</w:t>
            </w:r>
          </w:p>
          <w:p w:rsidR="00164106" w:rsidRDefault="00E72CA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1.28.2.1 – по санитарно-химическим показателям;</w:t>
            </w:r>
          </w:p>
          <w:p w:rsidR="00164106" w:rsidRDefault="00E72CA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1.28.2.2 – по микробиологическим показателям.</w:t>
            </w:r>
          </w:p>
        </w:tc>
        <w:tc>
          <w:tcPr>
            <w:tcW w:w="3939" w:type="dxa"/>
            <w:shd w:val="clear" w:color="auto" w:fill="auto"/>
          </w:tcPr>
          <w:p w:rsidR="00164106" w:rsidRDefault="001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Отражает риски здоровью, связанные с состоянием водных объектов</w:t>
            </w:r>
          </w:p>
        </w:tc>
      </w:tr>
      <w:tr w:rsidR="00164106">
        <w:trPr>
          <w:trHeight w:val="1398"/>
        </w:trPr>
        <w:tc>
          <w:tcPr>
            <w:tcW w:w="5529" w:type="dxa"/>
            <w:shd w:val="clear" w:color="auto" w:fill="auto"/>
          </w:tcPr>
          <w:p w:rsidR="00164106" w:rsidRDefault="00E72CA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1.29. Удельное водопотребление на хозяйственно-питьевые и другие нужды населения 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(литров на человека).</w:t>
            </w:r>
          </w:p>
        </w:tc>
        <w:tc>
          <w:tcPr>
            <w:tcW w:w="3939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Агрегированная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 рисков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здоровью, связанных с сохранением ресурсов питьевой воды</w:t>
            </w:r>
          </w:p>
        </w:tc>
      </w:tr>
      <w:tr w:rsidR="00164106">
        <w:tc>
          <w:tcPr>
            <w:tcW w:w="5529" w:type="dxa"/>
            <w:shd w:val="clear" w:color="auto" w:fill="auto"/>
          </w:tcPr>
          <w:p w:rsidR="00164106" w:rsidRDefault="00E72CA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1.53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Инфекционные и паразитарные болезни с впервые в жизни установленным диагнозом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30"/>
                <w:szCs w:val="30"/>
              </w:rPr>
              <w:t>на 100 000 населения).</w:t>
            </w:r>
          </w:p>
          <w:p w:rsidR="00164106" w:rsidRDefault="00E72CA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1.53.1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общая</w:t>
            </w:r>
            <w:proofErr w:type="gramEnd"/>
          </w:p>
          <w:p w:rsidR="00164106" w:rsidRDefault="00E72CA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1.53.5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микробной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этиологии</w:t>
            </w:r>
          </w:p>
          <w:p w:rsidR="00164106" w:rsidRDefault="00E72CA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1.53.6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вирусной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этиологии</w:t>
            </w:r>
          </w:p>
        </w:tc>
        <w:tc>
          <w:tcPr>
            <w:tcW w:w="3939" w:type="dxa"/>
            <w:vMerge w:val="restart"/>
            <w:shd w:val="clear" w:color="auto" w:fill="auto"/>
            <w:vAlign w:val="center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Отражает  реализацию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рисков здоровью связанные с обеспечением безопасности услуг в области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водообеспечения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населения</w:t>
            </w:r>
          </w:p>
        </w:tc>
      </w:tr>
      <w:tr w:rsidR="00164106">
        <w:tc>
          <w:tcPr>
            <w:tcW w:w="5529" w:type="dxa"/>
            <w:shd w:val="clear" w:color="auto" w:fill="auto"/>
          </w:tcPr>
          <w:p w:rsidR="00164106" w:rsidRDefault="00E72CA6">
            <w:pPr>
              <w:tabs>
                <w:tab w:val="left" w:pos="1026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Блок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. Раздел «Оборот продаж»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2.69. Оборот продажи упакованной питьевой воды </w:t>
            </w:r>
            <w:r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(на 1 тыс. населения).</w:t>
            </w:r>
          </w:p>
          <w:p w:rsidR="00164106" w:rsidRDefault="00164106">
            <w:pPr>
              <w:tabs>
                <w:tab w:val="left" w:pos="1026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39" w:type="dxa"/>
            <w:vMerge/>
            <w:shd w:val="clear" w:color="auto" w:fill="auto"/>
          </w:tcPr>
          <w:p w:rsidR="00164106" w:rsidRDefault="0016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4106">
        <w:tc>
          <w:tcPr>
            <w:tcW w:w="9468" w:type="dxa"/>
            <w:gridSpan w:val="2"/>
            <w:shd w:val="clear" w:color="auto" w:fill="auto"/>
          </w:tcPr>
          <w:p w:rsidR="00164106" w:rsidRDefault="00E72C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Блок </w:t>
            </w: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. - Раздел «Профессиональный тренинг»:</w:t>
            </w:r>
          </w:p>
          <w:p w:rsidR="00164106" w:rsidRDefault="00E72CA6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b/>
                <w:sz w:val="30"/>
                <w:szCs w:val="30"/>
              </w:rPr>
              <w:t>2.85.-</w:t>
            </w:r>
            <w:proofErr w:type="gram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2.87. (%)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охват тренингом  по вопросам управления общественным здоровьем в рамках выполнения показателя ЦУР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  <w:p w:rsidR="00164106" w:rsidRDefault="00164106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164106" w:rsidRDefault="00E72CA6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b/>
                <w:sz w:val="30"/>
                <w:szCs w:val="30"/>
              </w:rPr>
              <w:t>2.89.–</w:t>
            </w:r>
            <w:proofErr w:type="gram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2.90. (%)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уровень информированности профессиональных групп по вопросам управления общественным здоровьем в рамках выполнения показателя ЦУР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164106" w:rsidRDefault="00164106">
      <w:pPr>
        <w:sectPr w:rsidR="00164106">
          <w:headerReference w:type="default" r:id="rId8"/>
          <w:headerReference w:type="first" r:id="rId9"/>
          <w:pgSz w:w="11906" w:h="16838"/>
          <w:pgMar w:top="1134" w:right="707" w:bottom="1134" w:left="1701" w:header="283" w:footer="0" w:gutter="0"/>
          <w:cols w:space="720"/>
          <w:formProt w:val="0"/>
          <w:titlePg/>
          <w:docGrid w:linePitch="360" w:charSpace="8192"/>
        </w:sectPr>
      </w:pPr>
    </w:p>
    <w:p w:rsidR="00164106" w:rsidRDefault="00E72CA6">
      <w:pPr>
        <w:spacing w:after="0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lastRenderedPageBreak/>
        <w:t>Показатели ЦУР 6.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en-US"/>
        </w:rPr>
        <w:t>b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>.1</w:t>
      </w:r>
    </w:p>
    <w:tbl>
      <w:tblPr>
        <w:tblStyle w:val="aff9"/>
        <w:tblpPr w:leftFromText="180" w:rightFromText="180" w:vertAnchor="page" w:horzAnchor="margin" w:tblpXSpec="center" w:tblpY="2960"/>
        <w:tblW w:w="15350" w:type="dxa"/>
        <w:tblLook w:val="04A0" w:firstRow="1" w:lastRow="0" w:firstColumn="1" w:lastColumn="0" w:noHBand="0" w:noVBand="1"/>
      </w:tblPr>
      <w:tblGrid>
        <w:gridCol w:w="2239"/>
        <w:gridCol w:w="667"/>
        <w:gridCol w:w="666"/>
        <w:gridCol w:w="30"/>
        <w:gridCol w:w="636"/>
        <w:gridCol w:w="13"/>
        <w:gridCol w:w="653"/>
        <w:gridCol w:w="666"/>
        <w:gridCol w:w="666"/>
        <w:gridCol w:w="13"/>
        <w:gridCol w:w="653"/>
        <w:gridCol w:w="14"/>
        <w:gridCol w:w="652"/>
        <w:gridCol w:w="666"/>
        <w:gridCol w:w="666"/>
        <w:gridCol w:w="61"/>
        <w:gridCol w:w="9"/>
        <w:gridCol w:w="647"/>
        <w:gridCol w:w="821"/>
        <w:gridCol w:w="917"/>
        <w:gridCol w:w="21"/>
        <w:gridCol w:w="1094"/>
        <w:gridCol w:w="656"/>
        <w:gridCol w:w="1156"/>
        <w:gridCol w:w="235"/>
        <w:gridCol w:w="180"/>
        <w:gridCol w:w="653"/>
      </w:tblGrid>
      <w:tr w:rsidR="00164106">
        <w:tc>
          <w:tcPr>
            <w:tcW w:w="1653" w:type="dxa"/>
            <w:vMerge w:val="restart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2007</w:t>
            </w:r>
          </w:p>
        </w:tc>
        <w:tc>
          <w:tcPr>
            <w:tcW w:w="488" w:type="dxa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2008</w:t>
            </w:r>
          </w:p>
        </w:tc>
        <w:tc>
          <w:tcPr>
            <w:tcW w:w="513" w:type="dxa"/>
            <w:gridSpan w:val="2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2009</w:t>
            </w:r>
          </w:p>
        </w:tc>
        <w:tc>
          <w:tcPr>
            <w:tcW w:w="593" w:type="dxa"/>
            <w:gridSpan w:val="2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2010</w:t>
            </w:r>
          </w:p>
        </w:tc>
        <w:tc>
          <w:tcPr>
            <w:tcW w:w="545" w:type="dxa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</w:t>
            </w:r>
          </w:p>
        </w:tc>
        <w:tc>
          <w:tcPr>
            <w:tcW w:w="495" w:type="dxa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2012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2013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581" w:type="dxa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470" w:type="dxa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617" w:type="dxa"/>
            <w:gridSpan w:val="3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607" w:type="dxa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1273" w:type="dxa"/>
            <w:vMerge w:val="restart"/>
            <w:tcBorders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>2020</w:t>
            </w:r>
          </w:p>
        </w:tc>
        <w:tc>
          <w:tcPr>
            <w:tcW w:w="3500" w:type="dxa"/>
            <w:gridSpan w:val="5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Предельные уровни</w:t>
            </w:r>
          </w:p>
        </w:tc>
      </w:tr>
      <w:tr w:rsidR="00164106">
        <w:tc>
          <w:tcPr>
            <w:tcW w:w="1653" w:type="dxa"/>
            <w:vMerge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2496" w:type="dxa"/>
            <w:gridSpan w:val="2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954" w:type="dxa"/>
            <w:gridSpan w:val="2"/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</w:t>
            </w:r>
          </w:p>
        </w:tc>
      </w:tr>
      <w:tr w:rsidR="00164106">
        <w:tc>
          <w:tcPr>
            <w:tcW w:w="9517" w:type="dxa"/>
            <w:gridSpan w:val="20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ЦУР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.1.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Косвенные показатели ТНПА</w:t>
            </w:r>
          </w:p>
        </w:tc>
        <w:tc>
          <w:tcPr>
            <w:tcW w:w="5833" w:type="dxa"/>
            <w:gridSpan w:val="7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Инвестиции, направленные на охрану  (в тыс. руб.) на охрану окружающей среды 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</w:rPr>
              <w:t>108 157,3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рациональное использование водных ресурсов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(в млн. руб. в сопоставимых ценах)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0,7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0,2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% источников централизованного водоснабжения, не отвечавшие требованиям санитарных норм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23,79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22,31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22,81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20,73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20,32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18,81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16,97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26,92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pStyle w:val="aff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24,48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15,36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15,56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1,54</w:t>
            </w:r>
          </w:p>
        </w:tc>
        <w:tc>
          <w:tcPr>
            <w:tcW w:w="3500" w:type="dxa"/>
            <w:gridSpan w:val="5"/>
            <w:tcBorders>
              <w:left w:val="nil"/>
            </w:tcBorders>
            <w:vAlign w:val="center"/>
          </w:tcPr>
          <w:p w:rsidR="00164106" w:rsidRDefault="00E72C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устанавливаются</w:t>
            </w: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% источников централизованного водоснабжения, у которых отсутствуют зоны санитарной охраны отсутствие зон санитарной охраны 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2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2,93</w:t>
            </w:r>
          </w:p>
        </w:tc>
        <w:tc>
          <w:tcPr>
            <w:tcW w:w="3500" w:type="dxa"/>
            <w:gridSpan w:val="5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</w:rPr>
              <w:t xml:space="preserve">% проб воды, несоответствующих гигиеническим </w:t>
            </w:r>
            <w:r>
              <w:rPr>
                <w:rFonts w:ascii="Times New Roman" w:hAnsi="Times New Roman" w:cs="Times New Roman"/>
              </w:rPr>
              <w:lastRenderedPageBreak/>
              <w:t>требованиям по микробиологическим показателям: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highlight w:val="green"/>
              </w:rPr>
            </w:pPr>
            <w:r>
              <w:rPr>
                <w:rFonts w:ascii="Times New Roman" w:hAnsi="Times New Roman" w:cs="Times New Roman"/>
                <w:i/>
              </w:rPr>
              <w:t>- коммунальных водопроводов;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1,31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1,16</w:t>
            </w:r>
          </w:p>
        </w:tc>
        <w:tc>
          <w:tcPr>
            <w:tcW w:w="3500" w:type="dxa"/>
            <w:gridSpan w:val="5"/>
            <w:tcBorders>
              <w:lef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Не устанавливаются</w:t>
            </w: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- ведомственных водопроводов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1,61</w:t>
            </w:r>
          </w:p>
        </w:tc>
        <w:tc>
          <w:tcPr>
            <w:tcW w:w="3500" w:type="dxa"/>
            <w:gridSpan w:val="5"/>
            <w:vMerge w:val="restart"/>
            <w:tcBorders>
              <w:lef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Не устанавливаются</w:t>
            </w: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</w:rPr>
              <w:t>% проб воды, несоответствующих гигиеническим требованиям по санитарно-химическим показателям: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i/>
              </w:rPr>
              <w:t>- коммунальных водопроводов;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21,62</w:t>
            </w:r>
          </w:p>
        </w:tc>
        <w:tc>
          <w:tcPr>
            <w:tcW w:w="3500" w:type="dxa"/>
            <w:gridSpan w:val="5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i/>
              </w:rPr>
              <w:t>- ведомственных водопроводов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22,35</w:t>
            </w:r>
          </w:p>
        </w:tc>
        <w:tc>
          <w:tcPr>
            <w:tcW w:w="3500" w:type="dxa"/>
            <w:gridSpan w:val="5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9517" w:type="dxa"/>
            <w:gridSpan w:val="20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ЦУР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.1.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Косвенные показатели территориальных баз данных</w:t>
            </w:r>
          </w:p>
        </w:tc>
        <w:tc>
          <w:tcPr>
            <w:tcW w:w="5833" w:type="dxa"/>
            <w:gridSpan w:val="7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</w:rPr>
              <w:t>% систем водоснабжения и водоотведения, имеющие проектную документацию (запрос у собственников систем водоснабжения)</w:t>
            </w:r>
          </w:p>
        </w:tc>
        <w:tc>
          <w:tcPr>
            <w:tcW w:w="6591" w:type="dxa"/>
            <w:gridSpan w:val="18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D724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44,9</w:t>
            </w:r>
            <w:bookmarkStart w:id="0" w:name="_GoBack"/>
            <w:bookmarkEnd w:id="0"/>
          </w:p>
        </w:tc>
        <w:tc>
          <w:tcPr>
            <w:tcW w:w="3500" w:type="dxa"/>
            <w:gridSpan w:val="5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rPr>
          <w:trHeight w:val="687"/>
        </w:trPr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% общей площади жилого фонда, оборудованного: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vMerge w:val="restart"/>
            <w:tcBorders>
              <w:lef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Не устанавливаются</w:t>
            </w:r>
          </w:p>
        </w:tc>
      </w:tr>
      <w:tr w:rsidR="00164106">
        <w:trPr>
          <w:trHeight w:val="318"/>
        </w:trPr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водопроводом;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highlight w:val="gree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-  канализацией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rPr>
          <w:trHeight w:val="502"/>
        </w:trPr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% общей площади жилого фонда в городских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поселениях, оборудованного: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2007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</w:rPr>
            </w:pPr>
          </w:p>
        </w:tc>
        <w:tc>
          <w:tcPr>
            <w:tcW w:w="3450" w:type="dxa"/>
            <w:gridSpan w:val="4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rPr>
          <w:trHeight w:val="251"/>
        </w:trPr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- водопроводом;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82,2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85,2</w:t>
            </w: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85,6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</w:rPr>
            </w:pPr>
          </w:p>
        </w:tc>
        <w:tc>
          <w:tcPr>
            <w:tcW w:w="3450" w:type="dxa"/>
            <w:gridSpan w:val="4"/>
            <w:vMerge w:val="restart"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highlight w:val="gree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- канализацией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83,1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85,2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</w:rPr>
            </w:pPr>
          </w:p>
        </w:tc>
        <w:tc>
          <w:tcPr>
            <w:tcW w:w="3450" w:type="dxa"/>
            <w:gridSpan w:val="4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rPr>
          <w:trHeight w:val="1256"/>
        </w:trPr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76923C" w:themeColor="accent3" w:themeShade="BF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% общей площади жилого фонда в сельской местности, оборудованного: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dxa"/>
            <w:gridSpan w:val="4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rPr>
          <w:trHeight w:val="251"/>
        </w:trPr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- водопроводом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58,9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</w:tcPr>
          <w:p w:rsidR="00164106" w:rsidRDefault="00164106">
            <w:pPr>
              <w:rPr>
                <w:rFonts w:ascii="Times New Roman" w:hAnsi="Times New Roman"/>
              </w:rPr>
            </w:pPr>
          </w:p>
        </w:tc>
        <w:tc>
          <w:tcPr>
            <w:tcW w:w="3450" w:type="dxa"/>
            <w:gridSpan w:val="4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76923C" w:themeColor="accent3" w:themeShade="BF"/>
                <w:highlight w:val="gree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-  канализацией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</w:tcPr>
          <w:p w:rsidR="00164106" w:rsidRDefault="00E72C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</w:tcPr>
          <w:p w:rsidR="00164106" w:rsidRDefault="00164106">
            <w:pPr>
              <w:rPr>
                <w:rFonts w:ascii="Times New Roman" w:hAnsi="Times New Roman"/>
              </w:rPr>
            </w:pPr>
          </w:p>
        </w:tc>
        <w:tc>
          <w:tcPr>
            <w:tcW w:w="3450" w:type="dxa"/>
            <w:gridSpan w:val="4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Ввод в действие сетей (в километрах) за счет всех источников финансирования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</w:rPr>
              <w:t xml:space="preserve">Эксплуатирующие организации (ЖКХ, </w:t>
            </w:r>
            <w:proofErr w:type="spellStart"/>
            <w:r>
              <w:rPr>
                <w:rFonts w:ascii="Times New Roman" w:hAnsi="Times New Roman" w:cs="Times New Roman"/>
              </w:rPr>
              <w:t>ведомтсва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органы власти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  <w:i/>
              </w:rPr>
              <w:t>- водопроводом;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29,16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13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13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38,73</w:t>
            </w: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  <w:i/>
              </w:rPr>
              <w:t>- канализацией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3,998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8,71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13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47,86</w:t>
            </w: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</w:rPr>
              <w:t>Ввод в действие сетей (в километрах) за счет государственных  источников финансирования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  <w:i/>
              </w:rPr>
              <w:t>- водопроводом;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20,181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13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2CA6">
              <w:rPr>
                <w:rFonts w:ascii="Times New Roman" w:hAnsi="Times New Roman"/>
              </w:rPr>
              <w:t>7,464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9A4E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26,51</w:t>
            </w: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  <w:i/>
              </w:rPr>
              <w:t>- канализацией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164106" w:rsidRDefault="00E72CA6" w:rsidP="00E13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389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,33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13893">
              <w:rPr>
                <w:rFonts w:ascii="Times New Roman" w:hAnsi="Times New Roman"/>
              </w:rPr>
              <w:t>,552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9A4E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45,18</w:t>
            </w: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Ввод в действие мощностей станций и сооружений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очистки сточных вод </w:t>
            </w:r>
            <w:r>
              <w:rPr>
                <w:rFonts w:ascii="Times New Roman" w:hAnsi="Times New Roman" w:cs="Times New Roman"/>
                <w:i/>
              </w:rPr>
              <w:t>(в тыс. м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в сутки)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7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138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50" w:type="dxa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top w:val="nil"/>
              <w:right w:val="nil"/>
            </w:tcBorders>
          </w:tcPr>
          <w:p w:rsidR="00164106" w:rsidRDefault="00E72CA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% территорий, предоставляющих </w:t>
            </w:r>
            <w:r>
              <w:rPr>
                <w:rFonts w:ascii="Times New Roman" w:hAnsi="Times New Roman"/>
                <w:lang w:val="be-BY"/>
              </w:rPr>
              <w:t>информацию о соответствии воды в зонах рекреации гигиеническим нормативам в течение рекреационного периода еженедельно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t>100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top w:val="nil"/>
              <w:right w:val="nil"/>
            </w:tcBorders>
          </w:tcPr>
          <w:p w:rsidR="00164106" w:rsidRDefault="00E72CA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highlight w:val="magenta"/>
              </w:rPr>
            </w:pPr>
            <w:r>
              <w:rPr>
                <w:rFonts w:ascii="Times New Roman" w:hAnsi="Times New Roman" w:cs="Times New Roman"/>
              </w:rPr>
              <w:t>%  рекреационных зон, размещающих</w:t>
            </w:r>
            <w:r>
              <w:rPr>
                <w:rFonts w:ascii="Times New Roman" w:hAnsi="Times New Roman"/>
                <w:lang w:val="be-BY"/>
              </w:rPr>
              <w:t xml:space="preserve"> актуальную информацию </w:t>
            </w:r>
            <w:r>
              <w:rPr>
                <w:rFonts w:ascii="Times New Roman" w:hAnsi="Times New Roman" w:cs="Times New Roman"/>
              </w:rPr>
              <w:t>о результатах исследований воды поверхностных водных объектов и рисках для здоровья  на информационном стенде зоны рекреации (</w:t>
            </w:r>
            <w:r>
              <w:rPr>
                <w:rFonts w:ascii="Times New Roman" w:hAnsi="Times New Roman"/>
                <w:lang w:val="be-BY"/>
              </w:rPr>
              <w:t>кратность согласно ТНПА)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t>100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9517" w:type="dxa"/>
            <w:gridSpan w:val="20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- Индикаторы управленческих решений </w:t>
            </w:r>
          </w:p>
        </w:tc>
        <w:tc>
          <w:tcPr>
            <w:tcW w:w="5833" w:type="dxa"/>
            <w:gridSpan w:val="7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</w:rPr>
              <w:t>1.28. Состояние водных объектов в местах водопользования населения (удельный вес проб воды):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</w:rPr>
              <w:t xml:space="preserve">1.28.1 – водоемы первой категории:    </w:t>
            </w:r>
            <w:r>
              <w:rPr>
                <w:rFonts w:ascii="Times New Roman" w:hAnsi="Times New Roman" w:cs="Times New Roman"/>
                <w:i/>
              </w:rPr>
              <w:t>1.28.1.1 – по санитарно-</w:t>
            </w:r>
            <w:r>
              <w:rPr>
                <w:rFonts w:ascii="Times New Roman" w:hAnsi="Times New Roman" w:cs="Times New Roman"/>
                <w:i/>
              </w:rPr>
              <w:lastRenderedPageBreak/>
              <w:t>химическим показателям;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48,8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</w:t>
            </w:r>
          </w:p>
        </w:tc>
        <w:tc>
          <w:tcPr>
            <w:tcW w:w="3450" w:type="dxa"/>
            <w:gridSpan w:val="4"/>
            <w:vMerge w:val="restart"/>
            <w:tcBorders>
              <w:lef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устанавливаются </w:t>
            </w: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1.28.1.2 – по микробиологическим показателям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</w:t>
            </w:r>
          </w:p>
        </w:tc>
        <w:tc>
          <w:tcPr>
            <w:tcW w:w="3450" w:type="dxa"/>
            <w:gridSpan w:val="4"/>
            <w:vMerge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</w:rPr>
              <w:t>1.28.2 – водоемы второй категории: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i/>
              </w:rPr>
              <w:t>1.28.2.1 – по санитарно-химическим показателям;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2,59</w:t>
            </w:r>
          </w:p>
        </w:tc>
        <w:tc>
          <w:tcPr>
            <w:tcW w:w="3450" w:type="dxa"/>
            <w:gridSpan w:val="4"/>
            <w:vMerge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i/>
              </w:rPr>
              <w:t>1.28.2.2 – по микробиологическим показателям.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8,44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0,53</w:t>
            </w:r>
          </w:p>
        </w:tc>
        <w:tc>
          <w:tcPr>
            <w:tcW w:w="3450" w:type="dxa"/>
            <w:gridSpan w:val="4"/>
            <w:vMerge/>
            <w:tcBorders>
              <w:lef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i/>
                <w:color w:val="00B05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1.53. Инфекционные и паразитарные болезни с впервые в жизни установленным диагнозом </w:t>
            </w:r>
            <w:r>
              <w:rPr>
                <w:rFonts w:ascii="Times New Roman" w:hAnsi="Times New Roman" w:cs="Times New Roman"/>
                <w:i/>
                <w:color w:val="000000"/>
              </w:rPr>
              <w:t>на 100 000 населения), за исключением ОРИ и гриппа.</w:t>
            </w:r>
          </w:p>
          <w:p w:rsidR="00164106" w:rsidRDefault="00E72CA6">
            <w:pPr>
              <w:spacing w:after="0" w:line="240" w:lineRule="auto"/>
              <w:ind w:left="34" w:firstLine="284"/>
              <w:jc w:val="both"/>
              <w:rPr>
                <w:rFonts w:eastAsia="Calibri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1.53.1. общая;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488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51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289,8</w:t>
            </w:r>
          </w:p>
        </w:tc>
        <w:tc>
          <w:tcPr>
            <w:tcW w:w="593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304,2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296,8</w:t>
            </w:r>
          </w:p>
        </w:tc>
        <w:tc>
          <w:tcPr>
            <w:tcW w:w="55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581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289,4</w:t>
            </w:r>
          </w:p>
        </w:tc>
        <w:tc>
          <w:tcPr>
            <w:tcW w:w="617" w:type="dxa"/>
            <w:gridSpan w:val="3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310,4</w:t>
            </w:r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vAlign w:val="center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tcBorders>
              <w:left w:val="nil"/>
            </w:tcBorders>
            <w:vAlign w:val="center"/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Не устанавливаются</w:t>
            </w:r>
          </w:p>
        </w:tc>
      </w:tr>
      <w:tr w:rsidR="00164106">
        <w:tc>
          <w:tcPr>
            <w:tcW w:w="9517" w:type="dxa"/>
            <w:gridSpan w:val="20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-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Раздел “Оборот продаж”</w:t>
            </w:r>
          </w:p>
        </w:tc>
        <w:tc>
          <w:tcPr>
            <w:tcW w:w="5833" w:type="dxa"/>
            <w:gridSpan w:val="7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106">
        <w:tc>
          <w:tcPr>
            <w:tcW w:w="9517" w:type="dxa"/>
            <w:gridSpan w:val="20"/>
            <w:tcBorders>
              <w:right w:val="nil"/>
            </w:tcBorders>
            <w:vAlign w:val="center"/>
          </w:tcPr>
          <w:p w:rsidR="00164106" w:rsidRDefault="00E72CA6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-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Раздел «Профессиональный тренинг»</w:t>
            </w:r>
          </w:p>
          <w:p w:rsidR="00164106" w:rsidRDefault="00164106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7"/>
            <w:vAlign w:val="center"/>
          </w:tcPr>
          <w:p w:rsidR="00164106" w:rsidRDefault="00164106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106">
        <w:tc>
          <w:tcPr>
            <w:tcW w:w="9517" w:type="dxa"/>
            <w:gridSpan w:val="20"/>
            <w:tcBorders>
              <w:right w:val="nil"/>
            </w:tcBorders>
          </w:tcPr>
          <w:p w:rsidR="00164106" w:rsidRDefault="00E72CA6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(%) охват тренингом  по вопросам управления общественным здоровьем в рамках выполнения показателя ЦУР 6.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- 100%</w:t>
            </w:r>
          </w:p>
        </w:tc>
        <w:tc>
          <w:tcPr>
            <w:tcW w:w="5833" w:type="dxa"/>
            <w:gridSpan w:val="7"/>
          </w:tcPr>
          <w:p w:rsidR="00164106" w:rsidRDefault="00164106">
            <w:pPr>
              <w:tabs>
                <w:tab w:val="left" w:pos="9498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2.85.</w:t>
            </w:r>
          </w:p>
        </w:tc>
        <w:tc>
          <w:tcPr>
            <w:tcW w:w="7864" w:type="dxa"/>
            <w:gridSpan w:val="19"/>
            <w:vMerge w:val="restart"/>
            <w:tcBorders>
              <w:left w:val="nil"/>
              <w:righ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Показатель определяется экспертным путем, начало мониторинга с 2020 г.</w:t>
            </w:r>
          </w:p>
        </w:tc>
        <w:tc>
          <w:tcPr>
            <w:tcW w:w="5833" w:type="dxa"/>
            <w:gridSpan w:val="7"/>
            <w:vMerge w:val="restart"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7864" w:type="dxa"/>
            <w:gridSpan w:val="19"/>
            <w:vMerge/>
            <w:tcBorders>
              <w:left w:val="nil"/>
              <w:righ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7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2.87</w:t>
            </w:r>
          </w:p>
        </w:tc>
        <w:tc>
          <w:tcPr>
            <w:tcW w:w="7864" w:type="dxa"/>
            <w:gridSpan w:val="19"/>
            <w:vMerge/>
            <w:tcBorders>
              <w:left w:val="nil"/>
              <w:righ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7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9517" w:type="dxa"/>
            <w:gridSpan w:val="20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(%) уровень информированности профессиональных групп по вопросам управления общественным здоровьем в рамках выполнения показателя ЦУР 6.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33" w:type="dxa"/>
            <w:gridSpan w:val="7"/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4106">
        <w:trPr>
          <w:trHeight w:val="64"/>
        </w:trPr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2.88.</w:t>
            </w:r>
          </w:p>
        </w:tc>
        <w:tc>
          <w:tcPr>
            <w:tcW w:w="7864" w:type="dxa"/>
            <w:gridSpan w:val="19"/>
            <w:vMerge w:val="restart"/>
            <w:tcBorders>
              <w:left w:val="nil"/>
              <w:righ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Показатель определяется экспертным путем, начало мониторинга с 2020 г.</w:t>
            </w:r>
          </w:p>
        </w:tc>
        <w:tc>
          <w:tcPr>
            <w:tcW w:w="5833" w:type="dxa"/>
            <w:gridSpan w:val="7"/>
            <w:vMerge w:val="restart"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tabs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2.89.</w:t>
            </w:r>
          </w:p>
        </w:tc>
        <w:tc>
          <w:tcPr>
            <w:tcW w:w="7864" w:type="dxa"/>
            <w:gridSpan w:val="19"/>
            <w:vMerge/>
            <w:tcBorders>
              <w:left w:val="nil"/>
              <w:right w:val="nil"/>
            </w:tcBorders>
          </w:tcPr>
          <w:p w:rsidR="00164106" w:rsidRDefault="0016410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833" w:type="dxa"/>
            <w:gridSpan w:val="7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4106">
        <w:tc>
          <w:tcPr>
            <w:tcW w:w="1653" w:type="dxa"/>
            <w:tcBorders>
              <w:right w:val="nil"/>
            </w:tcBorders>
          </w:tcPr>
          <w:p w:rsidR="00164106" w:rsidRDefault="00E72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2.90.</w:t>
            </w:r>
          </w:p>
        </w:tc>
        <w:tc>
          <w:tcPr>
            <w:tcW w:w="7864" w:type="dxa"/>
            <w:gridSpan w:val="19"/>
            <w:vMerge/>
            <w:tcBorders>
              <w:left w:val="nil"/>
              <w:right w:val="nil"/>
            </w:tcBorders>
          </w:tcPr>
          <w:p w:rsidR="00164106" w:rsidRDefault="0016410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bookmarkStart w:id="1" w:name="OLE_LINK1"/>
            <w:bookmarkEnd w:id="1"/>
          </w:p>
        </w:tc>
        <w:tc>
          <w:tcPr>
            <w:tcW w:w="5833" w:type="dxa"/>
            <w:gridSpan w:val="7"/>
            <w:vMerge/>
            <w:tcBorders>
              <w:left w:val="nil"/>
            </w:tcBorders>
          </w:tcPr>
          <w:p w:rsidR="00164106" w:rsidRDefault="0016410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164106" w:rsidRDefault="00164106">
      <w:pPr>
        <w:rPr>
          <w:rFonts w:eastAsia="Calibri" w:cs="Times New Roman"/>
          <w:sz w:val="24"/>
          <w:szCs w:val="24"/>
        </w:rPr>
      </w:pPr>
    </w:p>
    <w:p w:rsidR="00164106" w:rsidRDefault="00164106">
      <w:pPr>
        <w:ind w:firstLine="709"/>
        <w:jc w:val="both"/>
        <w:rPr>
          <w:rFonts w:cs="Times New Roman"/>
        </w:rPr>
      </w:pPr>
    </w:p>
    <w:p w:rsidR="00164106" w:rsidRDefault="00164106">
      <w:pPr>
        <w:ind w:firstLine="709"/>
        <w:jc w:val="both"/>
        <w:rPr>
          <w:rFonts w:cs="Times New Roman"/>
        </w:rPr>
      </w:pPr>
    </w:p>
    <w:p w:rsidR="00164106" w:rsidRDefault="00164106">
      <w:pPr>
        <w:ind w:firstLine="709"/>
        <w:jc w:val="both"/>
        <w:rPr>
          <w:rFonts w:cs="Times New Roman"/>
        </w:rPr>
      </w:pPr>
    </w:p>
    <w:p w:rsidR="00164106" w:rsidRDefault="00164106">
      <w:pPr>
        <w:ind w:firstLine="709"/>
        <w:jc w:val="both"/>
        <w:rPr>
          <w:rFonts w:cs="Times New Roman"/>
        </w:rPr>
      </w:pPr>
    </w:p>
    <w:p w:rsidR="00164106" w:rsidRDefault="00164106">
      <w:pPr>
        <w:ind w:firstLine="709"/>
        <w:jc w:val="both"/>
        <w:rPr>
          <w:rFonts w:cs="Times New Roman"/>
        </w:rPr>
      </w:pPr>
    </w:p>
    <w:p w:rsidR="00164106" w:rsidRDefault="00164106">
      <w:pPr>
        <w:ind w:firstLine="709"/>
        <w:jc w:val="both"/>
        <w:rPr>
          <w:rFonts w:cs="Times New Roman"/>
        </w:rPr>
      </w:pPr>
    </w:p>
    <w:p w:rsidR="00164106" w:rsidRDefault="00164106">
      <w:pPr>
        <w:ind w:firstLine="709"/>
        <w:jc w:val="both"/>
        <w:rPr>
          <w:rFonts w:cs="Times New Roman"/>
        </w:rPr>
      </w:pPr>
    </w:p>
    <w:p w:rsidR="00164106" w:rsidRDefault="00164106">
      <w:pPr>
        <w:ind w:firstLine="709"/>
        <w:jc w:val="both"/>
        <w:rPr>
          <w:rFonts w:cs="Times New Roman"/>
        </w:rPr>
      </w:pPr>
    </w:p>
    <w:p w:rsidR="00164106" w:rsidRDefault="00E72CA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ПРОБЛЕМНО-ЦЕЛЕВОЙ АНАЛИЗ МОНИТОРИНГА ПОКАЗАТЕЛЯ ЦУР </w:t>
      </w:r>
      <w:r>
        <w:rPr>
          <w:rFonts w:ascii="Times New Roman" w:hAnsi="Times New Roman"/>
          <w:b/>
          <w:sz w:val="30"/>
          <w:szCs w:val="30"/>
        </w:rPr>
        <w:t>6.</w:t>
      </w:r>
      <w:r>
        <w:rPr>
          <w:rFonts w:ascii="Times New Roman" w:hAnsi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/>
          <w:b/>
          <w:sz w:val="30"/>
          <w:szCs w:val="30"/>
        </w:rPr>
        <w:t>.1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ff9"/>
        <w:tblW w:w="14709" w:type="dxa"/>
        <w:tblLook w:val="04A0" w:firstRow="1" w:lastRow="0" w:firstColumn="1" w:lastColumn="0" w:noHBand="0" w:noVBand="1"/>
      </w:tblPr>
      <w:tblGrid>
        <w:gridCol w:w="4077"/>
        <w:gridCol w:w="3120"/>
        <w:gridCol w:w="7512"/>
      </w:tblGrid>
      <w:tr w:rsidR="00164106">
        <w:tc>
          <w:tcPr>
            <w:tcW w:w="4077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Проблемные аспекты</w:t>
            </w:r>
          </w:p>
        </w:tc>
        <w:tc>
          <w:tcPr>
            <w:tcW w:w="3120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Причины</w:t>
            </w:r>
          </w:p>
        </w:tc>
        <w:tc>
          <w:tcPr>
            <w:tcW w:w="7512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Мероприятия</w:t>
            </w:r>
          </w:p>
        </w:tc>
      </w:tr>
      <w:tr w:rsidR="00164106">
        <w:tc>
          <w:tcPr>
            <w:tcW w:w="4077" w:type="dxa"/>
            <w:shd w:val="clear" w:color="auto" w:fill="auto"/>
          </w:tcPr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Необходимы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корреляционных зависимостей эколого-эпидемиологических параметров и прогнозных оценок качества и эффективности мероприятий, проводимых с целью защиты водных ресурсов от эко- и антропогенного воздействия.</w:t>
            </w:r>
          </w:p>
        </w:tc>
        <w:tc>
          <w:tcPr>
            <w:tcW w:w="312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социальный заказ на разработку моделей научного на основе взаимодействие с НАН Беларуси.</w:t>
            </w:r>
          </w:p>
        </w:tc>
        <w:tc>
          <w:tcPr>
            <w:tcW w:w="7512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ГИС-слежения за качеством питьевой воды на территории Республики Беларусь</w:t>
            </w:r>
          </w:p>
        </w:tc>
      </w:tr>
      <w:tr w:rsidR="00164106">
        <w:tc>
          <w:tcPr>
            <w:tcW w:w="4077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оценка и инвентаризация систем водоотведения с учетом требований санитарно-эпидемиологического законодательства  </w:t>
            </w:r>
          </w:p>
        </w:tc>
        <w:tc>
          <w:tcPr>
            <w:tcW w:w="312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социальный заказ</w:t>
            </w:r>
          </w:p>
        </w:tc>
        <w:tc>
          <w:tcPr>
            <w:tcW w:w="7512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оценку и инвентаризацию систем водоотведения с учетом требований санитарно-эпидемиологического законодательства, создание реестр систем водоотведения с акцентом на сельскую местность</w:t>
            </w:r>
          </w:p>
        </w:tc>
      </w:tr>
      <w:tr w:rsidR="00164106">
        <w:tc>
          <w:tcPr>
            <w:tcW w:w="4077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разработка информационной стратегии работы с населением по вопросам воды и здоровья</w:t>
            </w:r>
          </w:p>
        </w:tc>
        <w:tc>
          <w:tcPr>
            <w:tcW w:w="312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ТНПА </w:t>
            </w:r>
          </w:p>
        </w:tc>
        <w:tc>
          <w:tcPr>
            <w:tcW w:w="7512" w:type="dxa"/>
            <w:shd w:val="clear" w:color="auto" w:fill="auto"/>
          </w:tcPr>
          <w:p w:rsidR="00164106" w:rsidRDefault="00E72CA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информационной стратегии работы с населением по вопросам воды и здоровья, в первую очередь с применением информационного ресурса глобальной сети интернет – на сайтах организаций здравоохранения, например, содержащего:</w:t>
            </w:r>
          </w:p>
          <w:p w:rsidR="00164106" w:rsidRDefault="00E72CA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 о наиболее актуальных рисках для здоровья, связанных с питьевой водой, гигиенической значимости приоритетных показателей безопасности питьевой воды, памятки о дезинфекции колодцев, выбора фильтров для воды, упакованной воды и т.д. (справочный ресурс);</w:t>
            </w:r>
          </w:p>
          <w:p w:rsidR="00164106" w:rsidRDefault="00E72CA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актуальную информацию о соответствии воды гигиеническим нормативам в общественных децентрализованных источниках питьевого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не реже раза в квартал);</w:t>
            </w:r>
          </w:p>
          <w:p w:rsidR="00164106" w:rsidRDefault="00E72CA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актуальную информацию о соответствии воды в зонах рекреации гигиеническим нормативам (в течение рекреационного периода, еженедельно);</w:t>
            </w:r>
          </w:p>
          <w:p w:rsidR="00164106" w:rsidRDefault="00E72CA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информацию, где можно провести исследования воды.</w:t>
            </w:r>
          </w:p>
        </w:tc>
      </w:tr>
      <w:tr w:rsidR="00164106">
        <w:tc>
          <w:tcPr>
            <w:tcW w:w="4077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Требуется классификация рекреационных зон в зависимости от качества вод и рисков здоровью населения (по аналогии с ЕС)</w:t>
            </w:r>
          </w:p>
        </w:tc>
        <w:tc>
          <w:tcPr>
            <w:tcW w:w="312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социальный заказ</w:t>
            </w:r>
          </w:p>
        </w:tc>
        <w:tc>
          <w:tcPr>
            <w:tcW w:w="7512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классификации рекреационных зон в зависимости от качества вод и рисков здоровью населения на основе многолетних тенденций, с разработкой и применением системы информирования населения и иных заинтересованных</w:t>
            </w:r>
          </w:p>
        </w:tc>
      </w:tr>
    </w:tbl>
    <w:p w:rsidR="00164106" w:rsidRDefault="00E72CA6">
      <w:pPr>
        <w:spacing w:after="0" w:line="283" w:lineRule="exact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Направления деятельности органов и учреждений, осуществляющих государственный санитарный надзор, по усилению межведомственного взаимодействию с субъектами (объектами) социально-экономической деятельности  на административных территориях</w:t>
      </w:r>
    </w:p>
    <w:p w:rsidR="00164106" w:rsidRDefault="00E72CA6">
      <w:pPr>
        <w:spacing w:line="283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для достижения показателя ЦУР </w:t>
      </w:r>
      <w:r>
        <w:rPr>
          <w:rFonts w:ascii="Times New Roman" w:hAnsi="Times New Roman"/>
          <w:b/>
          <w:sz w:val="30"/>
          <w:szCs w:val="30"/>
        </w:rPr>
        <w:t>6.</w:t>
      </w:r>
      <w:r>
        <w:rPr>
          <w:rFonts w:ascii="Times New Roman" w:hAnsi="Times New Roman"/>
          <w:b/>
          <w:sz w:val="30"/>
          <w:szCs w:val="30"/>
          <w:lang w:val="en-US"/>
        </w:rPr>
        <w:t>b</w:t>
      </w:r>
      <w:r>
        <w:rPr>
          <w:rFonts w:ascii="Times New Roman" w:hAnsi="Times New Roman"/>
          <w:b/>
          <w:sz w:val="30"/>
          <w:szCs w:val="30"/>
        </w:rPr>
        <w:t>.1.</w:t>
      </w:r>
    </w:p>
    <w:p w:rsidR="00164106" w:rsidRDefault="00E72C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Задача межведомственного взаимодействия</w:t>
      </w:r>
      <w:r>
        <w:rPr>
          <w:rFonts w:ascii="Times New Roman" w:hAnsi="Times New Roman" w:cs="Times New Roman"/>
          <w:sz w:val="30"/>
          <w:szCs w:val="30"/>
        </w:rPr>
        <w:t>: достижение к 2030 году устойчивого санитарно-противоэпидемического обеспечения населения административной территории в части:</w:t>
      </w:r>
    </w:p>
    <w:p w:rsidR="00164106" w:rsidRDefault="00E72C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обеспечения всеобщего доступа (услуг)  к питьевой воде и предоставления этих услуг с соблюдением требований безопасности по противоэпидемическим и санитарно-гигиеническим аспектам;</w:t>
      </w:r>
    </w:p>
    <w:p w:rsidR="00164106" w:rsidRDefault="00E72CA6">
      <w:pPr>
        <w:tabs>
          <w:tab w:val="left" w:pos="1440"/>
        </w:tabs>
        <w:spacing w:line="240" w:lineRule="auto"/>
        <w:ind w:right="-113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состояния ресурсов питьевой воды и пути решения проблем, связанных с их использованием  эксплуатацией и поддержания устойчивости по гигиеническим параметрам.</w:t>
      </w:r>
    </w:p>
    <w:tbl>
      <w:tblPr>
        <w:tblStyle w:val="aff9"/>
        <w:tblW w:w="14786" w:type="dxa"/>
        <w:tblLook w:val="04A0" w:firstRow="1" w:lastRow="0" w:firstColumn="1" w:lastColumn="0" w:noHBand="0" w:noVBand="1"/>
      </w:tblPr>
      <w:tblGrid>
        <w:gridCol w:w="5637"/>
        <w:gridCol w:w="3686"/>
        <w:gridCol w:w="2410"/>
        <w:gridCol w:w="3053"/>
      </w:tblGrid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 межведомственного взаимодействия:</w:t>
            </w: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принадлежность </w:t>
            </w:r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Ориентировочные сроки достижения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</w:t>
            </w:r>
          </w:p>
        </w:tc>
      </w:tr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Ужесточение лимитов водопользования и удельных показателей водопотребления на единицу производимой продукции и душу населения.</w:t>
            </w:r>
          </w:p>
          <w:p w:rsidR="00164106" w:rsidRDefault="001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Минприроды,  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Минэкономики, 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облисполкомы (Минский горисполком)</w:t>
            </w:r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2020 года и ежегодно 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</w:t>
            </w:r>
          </w:p>
        </w:tc>
      </w:tr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 (завершение) передачи  ведомственных водопроводов на баланс жилищно-коммунальных служб.</w:t>
            </w:r>
          </w:p>
          <w:p w:rsidR="00164106" w:rsidRDefault="001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Минский облисполком,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Минского облисполкома,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«ЖКХ Минской области»,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рай(гор)исполкомы </w:t>
            </w:r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2025 год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«Комфортное жилье и благоприятная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на 2016-2020 годы», подпрограммой 5 которой является «Чистая вода»</w:t>
            </w:r>
          </w:p>
        </w:tc>
      </w:tr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 нормативных правовых актов с целью содействия росту инвестиций в городское водопроводное  хозяйство.</w:t>
            </w:r>
          </w:p>
          <w:p w:rsidR="00164106" w:rsidRDefault="00164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облисполком,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экономики Минского облисполкома,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«ЖКХ Минской области»,</w:t>
            </w:r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2025 году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</w:t>
            </w:r>
          </w:p>
        </w:tc>
      </w:tr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государственного реестра (банка данных)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dark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Минприроды, 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 Беларуси </w:t>
            </w:r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 года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вода»,</w:t>
            </w:r>
          </w:p>
        </w:tc>
      </w:tr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использования водных ресурсов для устойчивого производства продовольствия и развития сельских районов.</w:t>
            </w: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dark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Минприроды,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darkRe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dark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облисполкомы (Минский горисполком)</w:t>
            </w:r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2025 году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в области охраны окружающей среды Республики Беларусь до 2025 года</w:t>
            </w:r>
          </w:p>
        </w:tc>
      </w:tr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(развитие) индивидуальных систем водоснабжения  домашних хозяйств.</w:t>
            </w: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dark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Минприроды,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darkRe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dark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Минсельхозпрод,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облисполкомы (Минский горисполком)</w:t>
            </w:r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2020 года и постоянно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</w:t>
            </w:r>
          </w:p>
        </w:tc>
      </w:tr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tabs>
                <w:tab w:val="left" w:pos="1440"/>
              </w:tabs>
              <w:spacing w:after="0" w:line="240" w:lineRule="auto"/>
              <w:ind w:right="34" w:firstLine="42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Дальнейшая профессиональная актуализация государственной социально-экономической политики по коренному улучшению  доступности жителей сельских населенных мест и малых городов к качественной и безопасной питьевой воде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эксплуатационно-технического обслуживания сельских источников водоснабжения и водопроводов на основе централизации или зональности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Облисполкомы и районные исполнительные комитеты</w:t>
            </w:r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2020 года и постоянно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«Комфортное жилье и благоприятная среда на 2016-2020 годы», подпрограммой 5 которой является «Чистая вода»,</w:t>
            </w:r>
          </w:p>
        </w:tc>
      </w:tr>
      <w:tr w:rsidR="00164106">
        <w:tc>
          <w:tcPr>
            <w:tcW w:w="5636" w:type="dxa"/>
            <w:shd w:val="clear" w:color="auto" w:fill="auto"/>
          </w:tcPr>
          <w:p w:rsidR="00164106" w:rsidRDefault="00E72CA6">
            <w:pPr>
              <w:tabs>
                <w:tab w:val="left" w:pos="1440"/>
              </w:tabs>
              <w:spacing w:after="0" w:line="240" w:lineRule="auto"/>
              <w:ind w:right="3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количественных и качественных норм сброса коммунальных и производственных сточных вод в соответствие с международными стандартами.</w:t>
            </w:r>
          </w:p>
        </w:tc>
        <w:tc>
          <w:tcPr>
            <w:tcW w:w="3686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Минприроды,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Минжилкомхоз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 года</w:t>
            </w:r>
          </w:p>
        </w:tc>
        <w:tc>
          <w:tcPr>
            <w:tcW w:w="3053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в области охраны окружающей среды Республики Беларусь до 2025 года</w:t>
            </w:r>
          </w:p>
        </w:tc>
      </w:tr>
    </w:tbl>
    <w:p w:rsidR="00164106" w:rsidRDefault="0016410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164106" w:rsidRDefault="0016410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164106" w:rsidRDefault="0016410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164106" w:rsidRDefault="0016410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164106" w:rsidRDefault="00E72CA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Тематические направления информационной работы с населением для интеграции задач по достижению показателя ЦУР </w:t>
      </w:r>
      <w:r>
        <w:rPr>
          <w:rFonts w:ascii="Times New Roman" w:hAnsi="Times New Roman"/>
          <w:b/>
          <w:caps/>
          <w:color w:val="000000"/>
          <w:sz w:val="30"/>
          <w:szCs w:val="30"/>
        </w:rPr>
        <w:t>6.</w:t>
      </w:r>
      <w:r>
        <w:rPr>
          <w:rFonts w:ascii="Times New Roman" w:hAnsi="Times New Roman"/>
          <w:b/>
          <w:color w:val="000000"/>
          <w:sz w:val="30"/>
          <w:szCs w:val="30"/>
          <w:lang w:val="en-US"/>
        </w:rPr>
        <w:t>b</w:t>
      </w:r>
      <w:r>
        <w:rPr>
          <w:rFonts w:ascii="Times New Roman" w:hAnsi="Times New Roman"/>
          <w:b/>
          <w:caps/>
          <w:color w:val="000000"/>
          <w:sz w:val="30"/>
          <w:szCs w:val="30"/>
        </w:rPr>
        <w:t>.1</w:t>
      </w:r>
      <w:r>
        <w:rPr>
          <w:rFonts w:ascii="Times New Roman" w:hAnsi="Times New Roman"/>
          <w:b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>с задачами по формированию здорового образа жизни (ФЗОЖ)</w:t>
      </w:r>
    </w:p>
    <w:p w:rsidR="00164106" w:rsidRDefault="00E72CA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</w:t>
      </w:r>
    </w:p>
    <w:p w:rsidR="00164106" w:rsidRDefault="00E72CA6">
      <w:pPr>
        <w:spacing w:after="0" w:line="240" w:lineRule="auto"/>
        <w:ind w:firstLine="73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интеграции  достижения показателя ЦУР 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6.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.1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 ФЗОЖ:</w:t>
      </w:r>
    </w:p>
    <w:p w:rsidR="00164106" w:rsidRDefault="00E72CA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пропаганда потребления чистой питьевой воды взамен напитков с содержанием сахара и минерализованной (столовой или лечебно-профилактической) питьевой воды;</w:t>
      </w:r>
    </w:p>
    <w:p w:rsidR="00164106" w:rsidRDefault="00E72CA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обучение грамотного потребления питьевой воды </w:t>
      </w:r>
      <w:r>
        <w:rPr>
          <w:rFonts w:ascii="Times New Roman" w:eastAsia="CIDFont+F1" w:hAnsi="Times New Roman" w:cs="Times New Roman"/>
          <w:sz w:val="28"/>
          <w:szCs w:val="28"/>
        </w:rPr>
        <w:t>в контексте управления рисками, исходящими из других источников поведенческих рисков;</w:t>
      </w:r>
    </w:p>
    <w:p w:rsidR="00164106" w:rsidRDefault="00E72CA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воздействие для сохранения водных ресурсов;</w:t>
      </w:r>
    </w:p>
    <w:p w:rsidR="00164106" w:rsidRDefault="00E72CA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аппаратом анализ достижения эффективности показателя ЦУР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продвижения проекта «Здоровые города и поселки».</w:t>
      </w:r>
    </w:p>
    <w:p w:rsidR="00164106" w:rsidRDefault="0016410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106" w:rsidRDefault="00E72CA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Методологическое обоснование тематических направлений:</w:t>
      </w:r>
    </w:p>
    <w:p w:rsidR="00164106" w:rsidRDefault="00E72CA6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«Основах политики достижения для всех в Европейском регионе ВОЗ в 21 веке (Здоровье-21)» определено, что физическая среда обитания должна рассматриваться в качестве средства улучшения жилищных условий и благополучия человека, поскольку здоровье людей находится в зависимости от наличия и качества пищи, воды, воздуха и жилья.  </w:t>
      </w:r>
    </w:p>
    <w:p w:rsidR="00164106" w:rsidRDefault="00E72CA6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Цена, которую приходится платить на нерациональное использование водных ресурсов и управленческие бездействия, является очень высокой, так как ограничивает доступ к безопасной для здоровья питьевой воде, поэтому с  общей точки зрения, меры политического характера, призванные содействовать оздоровлению окружающей среды, включают в себя, в том числе мероприятия, предусматривающие более рациональную эксплуатацию ресурсов.</w:t>
      </w:r>
    </w:p>
    <w:p w:rsidR="00164106" w:rsidRDefault="00E72CA6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 пресной воды в необходимом количестве и достаточно высокого качества – важнейшая услуга населению, что является  основание для повышения уровня управления водными ресурсами и инвестиций в их сохранение как фактора устойчивого развития территории.</w:t>
      </w:r>
    </w:p>
    <w:p w:rsidR="00164106" w:rsidRDefault="00E72CA6">
      <w:pPr>
        <w:pStyle w:val="af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ВОЗ, предлагаемые в «</w:t>
      </w:r>
      <w:r>
        <w:rPr>
          <w:rFonts w:ascii="Times New Roman" w:eastAsia="CIDFont+F9" w:hAnsi="Times New Roman" w:cs="Times New Roman"/>
          <w:sz w:val="28"/>
          <w:szCs w:val="28"/>
        </w:rPr>
        <w:t xml:space="preserve">Руководстве по обеспечению качества питьевой воды» 2011 г. (в редакции 2017 г.), </w:t>
      </w:r>
      <w:r>
        <w:rPr>
          <w:rFonts w:ascii="Times New Roman" w:eastAsia="CIDFont+F1" w:hAnsi="Times New Roman" w:cs="Times New Roman"/>
          <w:sz w:val="28"/>
          <w:szCs w:val="28"/>
        </w:rPr>
        <w:t xml:space="preserve"> рассматривать в контексте управления рисками, исходящими из других источников, на которые воздействуют соответствующие факторы, таких как отходы, воздух, продукты питания и потребительские продукты.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06" w:rsidRDefault="001641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9"/>
        <w:tblW w:w="14786" w:type="dxa"/>
        <w:tblLook w:val="04A0" w:firstRow="1" w:lastRow="0" w:firstColumn="1" w:lastColumn="0" w:noHBand="0" w:noVBand="1"/>
      </w:tblPr>
      <w:tblGrid>
        <w:gridCol w:w="4076"/>
        <w:gridCol w:w="10710"/>
      </w:tblGrid>
      <w:tr w:rsidR="00164106">
        <w:tc>
          <w:tcPr>
            <w:tcW w:w="4076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10709" w:type="dxa"/>
            <w:shd w:val="clear" w:color="auto" w:fill="auto"/>
          </w:tcPr>
          <w:p w:rsidR="00164106" w:rsidRDefault="00E7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Содержательная основа тематического направления</w:t>
            </w:r>
          </w:p>
        </w:tc>
      </w:tr>
      <w:tr w:rsidR="00164106">
        <w:tc>
          <w:tcPr>
            <w:tcW w:w="4076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Оптимальные объемы жидкости, необходимые для удовлетворения жизненных функций </w:t>
            </w:r>
          </w:p>
        </w:tc>
        <w:tc>
          <w:tcPr>
            <w:tcW w:w="10709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жизненно необходима для человеческого организма. Без питательных веществ человек может жить несколько недель, без жидкости  он может прожить не более 3 дней.</w:t>
            </w:r>
          </w:p>
          <w:p w:rsidR="00164106" w:rsidRDefault="00E72CA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человек каждый день во время дыхания,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потовыделения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внутренних физиологических потребностей организма и в процессе выведения мочи и кала  теряет примерно 2600 мл воды (1500 мл – с мочой, 600 мл – через кожу, 400 мл – через легкие, 100 мл – с калом). </w:t>
            </w:r>
          </w:p>
          <w:p w:rsidR="00164106" w:rsidRDefault="00E72CA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нормального существования человек должен вводить в организм воды примерно в 2 раза больше по весу, чем питательных веществ. Для образования мочи требуется в среднем  1 – 1,5 л.</w:t>
            </w:r>
          </w:p>
          <w:p w:rsidR="00164106" w:rsidRDefault="00E72CA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Подсчитано, что для восполнения потерь жидкости человек, вес которого в пределах 55-60кг,  должен употребить в среднем 8 стаканов жидкости  при увеличении на 1 стакан на каждые последующие 20 кг массы тела. </w:t>
            </w:r>
          </w:p>
        </w:tc>
      </w:tr>
      <w:tr w:rsidR="00164106">
        <w:tc>
          <w:tcPr>
            <w:tcW w:w="4076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Доказательная медицина как основа информации для потребления чистой воды как оптимального средства поддержания жизненных функций человека.</w:t>
            </w:r>
          </w:p>
        </w:tc>
        <w:tc>
          <w:tcPr>
            <w:tcW w:w="10709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34" w:right="-113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оптимального потребления жидкости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64106" w:rsidRDefault="00E72CA6">
            <w:pPr>
              <w:pStyle w:val="afa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34" w:right="-11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Доказано, что наиболее оптимальным решением в удовлетворении потребности нашего организма в жидкости, является именно питьевая вода с общей минерализацией от 0,5 до 1 г/л, так как более высокое содержание минеральных солей может привести к нарушению их баланса в организме (обычно такая вода используется в лечебных целях).</w:t>
            </w:r>
          </w:p>
          <w:p w:rsidR="00164106" w:rsidRDefault="00E72CA6">
            <w:pPr>
              <w:pStyle w:val="afa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34" w:right="-11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научить население для утоления жажды (особенно летом)  не употреблять в значительных количествах  минеральные (минерализованные) и сладкие (подслащенные) воды, что неблагоприятно для здоровья. </w:t>
            </w:r>
          </w:p>
          <w:p w:rsidR="00164106" w:rsidRDefault="00E72CA6">
            <w:pPr>
              <w:pStyle w:val="afa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34" w:right="-113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 приучать население внимательно читать этикетки на бутылях  и оценивать  содержащуюся в них информацию, что бы употреблять действительно полезную по физиологическим аспектам воду.</w:t>
            </w:r>
          </w:p>
        </w:tc>
      </w:tr>
      <w:tr w:rsidR="00164106">
        <w:tc>
          <w:tcPr>
            <w:tcW w:w="4076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сопоставимость затрат из семейного бюджета на качественную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(физиологически полноценную) фасованную  воду по сравнению с поведенческими и биологическими рисками</w:t>
            </w:r>
          </w:p>
        </w:tc>
        <w:tc>
          <w:tcPr>
            <w:tcW w:w="10709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2005 году  РУП «НПЦ гигиены»  проведены расчеты расходов из семейного бюджета в сопоставлении с таковыми на курение. </w:t>
            </w:r>
          </w:p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Было показано, что  при использовании 5-литровых бутылей расходы из семейного бюджета составляли 3,5%, при использовании 18-литровых емкостей – 2,8%. </w:t>
            </w:r>
          </w:p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сравнении с потреблением табака было показано, что наличие в семье курящих (или одного курящего), суммарно выкуривающих в день 20 сигарет (одну пачку), расходы семейного бюджета на табак составляли: при употреблении отечественных сигарет – 2%, импортных – 6,8% семейного бюджета (без учета затрат на алкоголь и другие факторы поведенческого риска). </w:t>
            </w:r>
          </w:p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есть, затраты домашнего хозяйства  на приобретение фасованной воды для питья и приготовления пищи  покрываются, если исключить  только расходы на табак,  не говоря уже об алкоголе.</w:t>
            </w:r>
          </w:p>
          <w:p w:rsidR="00164106" w:rsidRDefault="00E72CA6">
            <w:pPr>
              <w:pStyle w:val="afa"/>
              <w:numPr>
                <w:ilvl w:val="0"/>
                <w:numId w:val="4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целый ряд объективных и субъективных факторов, которые необходимо будет решать при переходе на повсеместное использование фасованной питьевой воды. </w:t>
            </w:r>
          </w:p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семьи малоимущие,  где суммарный бюджет меньше. </w:t>
            </w:r>
          </w:p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необходимо на первых порах  пропагандировать такую воду для использования  только для питья и приготовления пищи, что сделает ее более доступной. </w:t>
            </w:r>
          </w:p>
          <w:p w:rsidR="00164106" w:rsidRDefault="00E72C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эффективного сервиса доставки такой воды населению на дом, естественно, потребует дополнительных семейных расходов, но решает опосредованно другие проблемы.   </w:t>
            </w:r>
          </w:p>
        </w:tc>
      </w:tr>
      <w:tr w:rsidR="00164106">
        <w:trPr>
          <w:trHeight w:val="2736"/>
        </w:trPr>
        <w:tc>
          <w:tcPr>
            <w:tcW w:w="4076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Достаточное ежегодное инвестирование в сохранение водных ресурсов уменьшает потребление поверхностных и подземных вод.</w:t>
            </w:r>
          </w:p>
        </w:tc>
        <w:tc>
          <w:tcPr>
            <w:tcW w:w="10709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мировым прогнозам, без перехода к сберегающим водные ресурсы технологиям между водоснабжением и расходами воды возникает большой и все увеличивающийся разрыв. Решение этой проблемы возможно только посредством инвестирования в инфраструктуру и реформы в области водной политики.</w:t>
            </w:r>
          </w:p>
          <w:p w:rsidR="00164106" w:rsidRDefault="00E72CA6">
            <w:pPr>
              <w:pStyle w:val="af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достаточного ежегодного инвестирования в сохранение водных ресурсов в период с 2020 по 2050 годы, повышение эффективности в сельскохозяйственном, промышленном и муниципальном секторах уменьшило бы к 2050 году спрос на воду примерно на 20% и уменьшило бы потребление поверхностных и подземных вод как в краткосрочной, так и в долгосрочной перспективе.</w:t>
            </w:r>
          </w:p>
        </w:tc>
      </w:tr>
      <w:tr w:rsidR="00164106">
        <w:trPr>
          <w:trHeight w:val="2016"/>
        </w:trPr>
        <w:tc>
          <w:tcPr>
            <w:tcW w:w="4076" w:type="dxa"/>
            <w:shd w:val="clear" w:color="auto" w:fill="auto"/>
          </w:tcPr>
          <w:p w:rsidR="00164106" w:rsidRDefault="00E72CA6">
            <w:pPr>
              <w:pStyle w:val="afa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  достижения эффективности показателя ЦУР 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продвижения проекта «Здоровые города и поселки»</w:t>
            </w:r>
          </w:p>
        </w:tc>
        <w:tc>
          <w:tcPr>
            <w:tcW w:w="10709" w:type="dxa"/>
            <w:shd w:val="clear" w:color="auto" w:fill="auto"/>
          </w:tcPr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остояния водных объектов в местах водопользования населения и водоемов первой и второй категории в пригородных зонах по санитарно-химическим и микробиологическим и показателям;               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удельного водопотребления на хозяйственно-питьевые и другие нужды населения;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жилищ, обеспеченных водопроводом;</w:t>
            </w:r>
          </w:p>
          <w:p w:rsidR="00164106" w:rsidRDefault="00E7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рост сетей водопроводов и канализации, мощностей станций и сооружений для очистки сточных вод</w:t>
            </w:r>
          </w:p>
        </w:tc>
      </w:tr>
    </w:tbl>
    <w:p w:rsidR="00164106" w:rsidRDefault="00164106">
      <w:pPr>
        <w:sectPr w:rsidR="00164106">
          <w:headerReference w:type="default" r:id="rId10"/>
          <w:pgSz w:w="16838" w:h="11906" w:orient="landscape"/>
          <w:pgMar w:top="850" w:right="567" w:bottom="1134" w:left="1134" w:header="624" w:footer="0" w:gutter="0"/>
          <w:pgNumType w:start="23"/>
          <w:cols w:space="720"/>
          <w:formProt w:val="0"/>
          <w:docGrid w:linePitch="360" w:charSpace="8192"/>
        </w:sectPr>
      </w:pPr>
    </w:p>
    <w:p w:rsidR="00164106" w:rsidRDefault="00E72C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ЛИТЕРАТУРА:</w:t>
      </w:r>
    </w:p>
    <w:p w:rsidR="00164106" w:rsidRDefault="00164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4106" w:rsidRDefault="00E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Национальная стратегия устойчивого социально-экономического развития Республики Беларусь на период до 2020 г./ Национальная комиссия по устойчивому развитию Республики Беларусь. – Минск: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Юнипак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2004. – 200с.</w:t>
      </w:r>
    </w:p>
    <w:p w:rsidR="00164106" w:rsidRDefault="00E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Охрана окружающей среды в Республике Беларусь/ Статистический сборник. – Минск, 2014. – 263с.</w:t>
      </w:r>
    </w:p>
    <w:p w:rsidR="00164106" w:rsidRDefault="00E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Состояние природной среды Беларуси: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бюл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2013 г./ Под ред. В.Ф. Логинова. – Минск, 2014. – 364 с. </w:t>
      </w:r>
    </w:p>
    <w:sectPr w:rsidR="00164106">
      <w:headerReference w:type="default" r:id="rId11"/>
      <w:pgSz w:w="11906" w:h="16838"/>
      <w:pgMar w:top="1134" w:right="566" w:bottom="1134" w:left="1418" w:header="62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DB" w:rsidRDefault="001779DB">
      <w:pPr>
        <w:spacing w:after="0" w:line="240" w:lineRule="auto"/>
      </w:pPr>
      <w:r>
        <w:separator/>
      </w:r>
    </w:p>
  </w:endnote>
  <w:endnote w:type="continuationSeparator" w:id="0">
    <w:p w:rsidR="001779DB" w:rsidRDefault="0017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9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DB" w:rsidRDefault="001779DB">
      <w:r>
        <w:separator/>
      </w:r>
    </w:p>
  </w:footnote>
  <w:footnote w:type="continuationSeparator" w:id="0">
    <w:p w:rsidR="001779DB" w:rsidRDefault="001779DB">
      <w:r>
        <w:continuationSeparator/>
      </w:r>
    </w:p>
  </w:footnote>
  <w:footnote w:id="1">
    <w:p w:rsidR="00164106" w:rsidRDefault="00E72CA6">
      <w:pPr>
        <w:pStyle w:val="aff4"/>
        <w:jc w:val="both"/>
      </w:pPr>
      <w:r>
        <w:rPr>
          <w:rStyle w:val="af1"/>
        </w:rPr>
        <w:footnoteRef/>
      </w:r>
      <w:r>
        <w:rPr>
          <w:rStyle w:val="FootnoteCharacters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водой питьевого качества подразумевается вода, соответствующая нормативным требованиям по содержанию железа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323943"/>
      <w:docPartObj>
        <w:docPartGallery w:val="Page Numbers (Top of Page)"/>
        <w:docPartUnique/>
      </w:docPartObj>
    </w:sdtPr>
    <w:sdtEndPr/>
    <w:sdtContent>
      <w:p w:rsidR="00164106" w:rsidRDefault="00E72CA6">
        <w:pPr>
          <w:pStyle w:val="aff"/>
          <w:tabs>
            <w:tab w:val="left" w:pos="4476"/>
          </w:tabs>
        </w:pPr>
        <w:r>
          <w:fldChar w:fldCharType="begin"/>
        </w:r>
        <w:r>
          <w:instrText>PAGE</w:instrText>
        </w:r>
        <w:r>
          <w:fldChar w:fldCharType="separate"/>
        </w:r>
        <w:r w:rsidR="00D72496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312813"/>
      <w:docPartObj>
        <w:docPartGallery w:val="Page Numbers (Top of Page)"/>
        <w:docPartUnique/>
      </w:docPartObj>
    </w:sdtPr>
    <w:sdtEndPr/>
    <w:sdtContent>
      <w:p w:rsidR="00164106" w:rsidRDefault="00E72CA6">
        <w:pPr>
          <w:pStyle w:val="aff"/>
          <w:tabs>
            <w:tab w:val="center" w:pos="4749"/>
            <w:tab w:val="left" w:pos="5206"/>
          </w:tabs>
        </w:pPr>
        <w:r>
          <w:rPr>
            <w:color w:val="FFFFFF" w:themeColor="background1"/>
          </w:rPr>
          <w:tab/>
        </w:r>
        <w:r>
          <w:rPr>
            <w:color w:val="FFFFFF" w:themeColor="background1"/>
          </w:rP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D72496">
          <w:rPr>
            <w:noProof/>
          </w:rPr>
          <w:t>1</w:t>
        </w:r>
        <w:r>
          <w:fldChar w:fldCharType="end"/>
        </w:r>
        <w:r>
          <w:rPr>
            <w:color w:val="FFFFFF" w:themeColor="background1"/>
          </w:rPr>
          <w:tab/>
        </w:r>
      </w:p>
      <w:p w:rsidR="00164106" w:rsidRDefault="001779DB">
        <w:pPr>
          <w:pStyle w:val="aff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501565"/>
      <w:docPartObj>
        <w:docPartGallery w:val="Page Numbers (Top of Page)"/>
        <w:docPartUnique/>
      </w:docPartObj>
    </w:sdtPr>
    <w:sdtEndPr/>
    <w:sdtContent>
      <w:p w:rsidR="00164106" w:rsidRDefault="00E72CA6">
        <w:pPr>
          <w:pStyle w:val="aff"/>
          <w:tabs>
            <w:tab w:val="left" w:pos="4476"/>
          </w:tabs>
        </w:pPr>
        <w:r>
          <w:fldChar w:fldCharType="begin"/>
        </w:r>
        <w:r>
          <w:instrText>PAGE</w:instrText>
        </w:r>
        <w:r>
          <w:fldChar w:fldCharType="separate"/>
        </w:r>
        <w:r w:rsidR="00D72496">
          <w:rPr>
            <w:noProof/>
          </w:rPr>
          <w:t>33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832941"/>
      <w:docPartObj>
        <w:docPartGallery w:val="Page Numbers (Top of Page)"/>
        <w:docPartUnique/>
      </w:docPartObj>
    </w:sdtPr>
    <w:sdtEndPr/>
    <w:sdtContent>
      <w:p w:rsidR="00164106" w:rsidRDefault="00E72CA6">
        <w:pPr>
          <w:pStyle w:val="aff"/>
          <w:tabs>
            <w:tab w:val="left" w:pos="4476"/>
          </w:tabs>
        </w:pPr>
        <w:r>
          <w:fldChar w:fldCharType="begin"/>
        </w:r>
        <w:r>
          <w:instrText>PAGE</w:instrText>
        </w:r>
        <w:r>
          <w:fldChar w:fldCharType="separate"/>
        </w:r>
        <w:r w:rsidR="00D72496">
          <w:rPr>
            <w:noProof/>
          </w:rPr>
          <w:t>34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702E"/>
    <w:multiLevelType w:val="multilevel"/>
    <w:tmpl w:val="C1267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AC7BE0"/>
    <w:multiLevelType w:val="multilevel"/>
    <w:tmpl w:val="391AF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6CB6920"/>
    <w:multiLevelType w:val="multilevel"/>
    <w:tmpl w:val="93500CD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D1F30AE"/>
    <w:multiLevelType w:val="multilevel"/>
    <w:tmpl w:val="9F5CFAF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065EAD"/>
    <w:multiLevelType w:val="multilevel"/>
    <w:tmpl w:val="BD1EC2E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3F027E8D"/>
    <w:multiLevelType w:val="multilevel"/>
    <w:tmpl w:val="7A9C3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1149"/>
    <w:multiLevelType w:val="multilevel"/>
    <w:tmpl w:val="C1EAC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176027"/>
    <w:multiLevelType w:val="multilevel"/>
    <w:tmpl w:val="020A9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28E0DE7"/>
    <w:multiLevelType w:val="multilevel"/>
    <w:tmpl w:val="10445844"/>
    <w:lvl w:ilvl="0">
      <w:start w:val="1"/>
      <w:numFmt w:val="upperRoman"/>
      <w:lvlText w:val="%1."/>
      <w:lvlJc w:val="left"/>
      <w:pPr>
        <w:ind w:left="2677" w:firstLine="0"/>
      </w:pPr>
    </w:lvl>
    <w:lvl w:ilvl="1">
      <w:start w:val="69"/>
      <w:numFmt w:val="decimal"/>
      <w:lvlText w:val="%1.%2."/>
      <w:lvlJc w:val="left"/>
      <w:pPr>
        <w:ind w:left="2139" w:firstLine="0"/>
      </w:pPr>
    </w:lvl>
    <w:lvl w:ilvl="2">
      <w:start w:val="1"/>
      <w:numFmt w:val="decimal"/>
      <w:lvlText w:val="%1.%2.%3."/>
      <w:lvlJc w:val="left"/>
      <w:pPr>
        <w:ind w:left="2139" w:firstLine="0"/>
      </w:pPr>
    </w:lvl>
    <w:lvl w:ilvl="3">
      <w:start w:val="1"/>
      <w:numFmt w:val="decimal"/>
      <w:lvlText w:val="%1.%2.%3.%4."/>
      <w:lvlJc w:val="left"/>
      <w:pPr>
        <w:ind w:left="2499" w:firstLine="0"/>
      </w:pPr>
    </w:lvl>
    <w:lvl w:ilvl="4">
      <w:start w:val="1"/>
      <w:numFmt w:val="decimal"/>
      <w:lvlText w:val="%1.%2.%3.%4.%5."/>
      <w:lvlJc w:val="left"/>
      <w:pPr>
        <w:ind w:left="2499" w:firstLine="0"/>
      </w:pPr>
    </w:lvl>
    <w:lvl w:ilvl="5">
      <w:start w:val="1"/>
      <w:numFmt w:val="decimal"/>
      <w:lvlText w:val="%1.%2.%3.%4.%5.%6."/>
      <w:lvlJc w:val="left"/>
      <w:pPr>
        <w:ind w:left="2859" w:firstLine="0"/>
      </w:pPr>
    </w:lvl>
    <w:lvl w:ilvl="6">
      <w:start w:val="1"/>
      <w:numFmt w:val="decimal"/>
      <w:lvlText w:val="%1.%2.%3.%4.%5.%6.%7."/>
      <w:lvlJc w:val="left"/>
      <w:pPr>
        <w:ind w:left="3219" w:firstLine="0"/>
      </w:pPr>
    </w:lvl>
    <w:lvl w:ilvl="7">
      <w:start w:val="1"/>
      <w:numFmt w:val="decimal"/>
      <w:lvlText w:val="%1.%2.%3.%4.%5.%6.%7.%8."/>
      <w:lvlJc w:val="left"/>
      <w:pPr>
        <w:ind w:left="3219" w:firstLine="0"/>
      </w:pPr>
    </w:lvl>
    <w:lvl w:ilvl="8">
      <w:start w:val="1"/>
      <w:numFmt w:val="decimal"/>
      <w:lvlText w:val="%1.%2.%3.%4.%5.%6.%7.%8.%9."/>
      <w:lvlJc w:val="left"/>
      <w:pPr>
        <w:ind w:left="3579" w:firstLine="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06"/>
    <w:rsid w:val="00164106"/>
    <w:rsid w:val="001779DB"/>
    <w:rsid w:val="009A4E84"/>
    <w:rsid w:val="00B54469"/>
    <w:rsid w:val="00D72496"/>
    <w:rsid w:val="00E13893"/>
    <w:rsid w:val="00E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1C90B-8593-459C-8EEC-01FD10C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jc w:val="center"/>
      <w:textAlignment w:val="center"/>
    </w:pPr>
    <w:rPr>
      <w:sz w:val="22"/>
    </w:rPr>
  </w:style>
  <w:style w:type="paragraph" w:styleId="1">
    <w:name w:val="heading 1"/>
    <w:basedOn w:val="a"/>
    <w:link w:val="10"/>
    <w:qFormat/>
    <w:rsid w:val="00062F2E"/>
    <w:pPr>
      <w:keepNext/>
      <w:widowControl w:val="0"/>
      <w:spacing w:before="240" w:after="60" w:line="300" w:lineRule="auto"/>
      <w:ind w:firstLine="680"/>
      <w:jc w:val="both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062F2E"/>
    <w:pPr>
      <w:keepNext/>
      <w:widowControl w:val="0"/>
      <w:spacing w:before="240" w:after="60" w:line="300" w:lineRule="auto"/>
      <w:ind w:firstLine="68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qFormat/>
    <w:rsid w:val="00062F2E"/>
    <w:pPr>
      <w:keepNext/>
      <w:widowControl w:val="0"/>
      <w:spacing w:before="240" w:after="60" w:line="30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062F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062F2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763A7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a0"/>
    <w:qFormat/>
    <w:rsid w:val="00466C8D"/>
    <w:rPr>
      <w:rFonts w:ascii="Courier New" w:eastAsia="SimSun" w:hAnsi="Courier New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67777F"/>
  </w:style>
  <w:style w:type="character" w:customStyle="1" w:styleId="a6">
    <w:name w:val="Нижний колонтитул Знак"/>
    <w:basedOn w:val="a0"/>
    <w:uiPriority w:val="99"/>
    <w:qFormat/>
    <w:rsid w:val="0067777F"/>
  </w:style>
  <w:style w:type="character" w:customStyle="1" w:styleId="a7">
    <w:name w:val="Основной текст Знак"/>
    <w:basedOn w:val="a0"/>
    <w:qFormat/>
    <w:rsid w:val="00F53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062F2E"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062F2E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062F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062F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062F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062F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8">
    <w:name w:val="page number"/>
    <w:basedOn w:val="a0"/>
    <w:qFormat/>
    <w:rsid w:val="00062F2E"/>
  </w:style>
  <w:style w:type="character" w:styleId="a9">
    <w:name w:val="Strong"/>
    <w:basedOn w:val="a0"/>
    <w:qFormat/>
    <w:rsid w:val="00062F2E"/>
    <w:rPr>
      <w:b/>
      <w:bCs/>
    </w:rPr>
  </w:style>
  <w:style w:type="character" w:styleId="aa">
    <w:name w:val="Emphasis"/>
    <w:basedOn w:val="a0"/>
    <w:qFormat/>
    <w:rsid w:val="00062F2E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062F2E"/>
    <w:rPr>
      <w:color w:val="1A49A2"/>
      <w:u w:val="single"/>
    </w:rPr>
  </w:style>
  <w:style w:type="character" w:customStyle="1" w:styleId="phead21">
    <w:name w:val="phead21"/>
    <w:basedOn w:val="a0"/>
    <w:qFormat/>
    <w:rsid w:val="00062F2E"/>
    <w:rPr>
      <w:rFonts w:ascii="Arial" w:hAnsi="Arial" w:cs="Arial"/>
      <w:b/>
      <w:bCs/>
      <w:color w:val="2C5279"/>
      <w:sz w:val="18"/>
      <w:szCs w:val="18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62F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062F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с отступом Знак"/>
    <w:basedOn w:val="a0"/>
    <w:qFormat/>
    <w:rsid w:val="00062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062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basedOn w:val="a0"/>
    <w:qFormat/>
    <w:rsid w:val="00062F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qFormat/>
    <w:rsid w:val="00062F2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qFormat/>
    <w:rsid w:val="00F64447"/>
    <w:rPr>
      <w:sz w:val="20"/>
      <w:szCs w:val="20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64447"/>
    <w:rPr>
      <w:vertAlign w:val="superscript"/>
    </w:rPr>
  </w:style>
  <w:style w:type="character" w:customStyle="1" w:styleId="af0">
    <w:name w:val="Без интервала Знак"/>
    <w:uiPriority w:val="1"/>
    <w:qFormat/>
    <w:locked/>
    <w:rsid w:val="002C0B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Заголовок №2"/>
    <w:basedOn w:val="a0"/>
    <w:qFormat/>
    <w:rsid w:val="00E5290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FFFFFF"/>
      <w:spacing w:val="-10"/>
      <w:w w:val="100"/>
      <w:sz w:val="88"/>
      <w:szCs w:val="88"/>
    </w:rPr>
  </w:style>
  <w:style w:type="character" w:customStyle="1" w:styleId="FontStyle11">
    <w:name w:val="Font Style11"/>
    <w:uiPriority w:val="99"/>
    <w:qFormat/>
    <w:rsid w:val="00E52904"/>
    <w:rPr>
      <w:rFonts w:ascii="Times New Roman" w:hAnsi="Times New Roman" w:cs="Times New Roman"/>
      <w:sz w:val="28"/>
      <w:szCs w:val="28"/>
    </w:rPr>
  </w:style>
  <w:style w:type="character" w:customStyle="1" w:styleId="af1">
    <w:name w:val="Символ сноски"/>
    <w:qFormat/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af3">
    <w:name w:val="Символы концевой сноски"/>
    <w:qFormat/>
  </w:style>
  <w:style w:type="character" w:customStyle="1" w:styleId="af4">
    <w:name w:val="Символ концевой сноски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F53667"/>
    <w:pPr>
      <w:widowControl w:val="0"/>
      <w:spacing w:after="12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uiPriority w:val="34"/>
    <w:qFormat/>
    <w:rsid w:val="004252B0"/>
    <w:pPr>
      <w:ind w:left="720"/>
      <w:contextualSpacing/>
    </w:pPr>
  </w:style>
  <w:style w:type="paragraph" w:styleId="afb">
    <w:name w:val="Normal (Web)"/>
    <w:basedOn w:val="a"/>
    <w:unhideWhenUsed/>
    <w:qFormat/>
    <w:rsid w:val="00DD79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0112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Balloon Text"/>
    <w:basedOn w:val="a"/>
    <w:semiHidden/>
    <w:unhideWhenUsed/>
    <w:qFormat/>
    <w:rsid w:val="009763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Plain Text"/>
    <w:basedOn w:val="a"/>
    <w:qFormat/>
    <w:rsid w:val="00466C8D"/>
    <w:pPr>
      <w:spacing w:after="0" w:line="240" w:lineRule="auto"/>
    </w:pPr>
    <w:rPr>
      <w:rFonts w:ascii="Courier New" w:eastAsia="SimSun" w:hAnsi="Courier New" w:cs="Times New Roman"/>
      <w:sz w:val="20"/>
      <w:szCs w:val="20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unhideWhenUsed/>
    <w:rsid w:val="0067777F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unhideWhenUsed/>
    <w:rsid w:val="0067777F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Body Text Indent 3"/>
    <w:basedOn w:val="a"/>
    <w:unhideWhenUsed/>
    <w:qFormat/>
    <w:rsid w:val="00062F2E"/>
    <w:pPr>
      <w:spacing w:after="120"/>
      <w:ind w:left="283"/>
    </w:pPr>
    <w:rPr>
      <w:sz w:val="16"/>
      <w:szCs w:val="16"/>
    </w:rPr>
  </w:style>
  <w:style w:type="paragraph" w:customStyle="1" w:styleId="phead">
    <w:name w:val="phead"/>
    <w:basedOn w:val="a"/>
    <w:qFormat/>
    <w:rsid w:val="00062F2E"/>
    <w:pPr>
      <w:spacing w:beforeAutospacing="1" w:afterAutospacing="1" w:line="240" w:lineRule="auto"/>
    </w:pPr>
    <w:rPr>
      <w:rFonts w:ascii="Garamond" w:eastAsia="Times New Roman" w:hAnsi="Garamond" w:cs="Arial"/>
      <w:color w:val="2C5279"/>
      <w:sz w:val="24"/>
      <w:szCs w:val="24"/>
      <w:lang w:eastAsia="ru-RU"/>
    </w:rPr>
  </w:style>
  <w:style w:type="paragraph" w:styleId="HTML0">
    <w:name w:val="HTML Preformatted"/>
    <w:basedOn w:val="a"/>
    <w:uiPriority w:val="99"/>
    <w:unhideWhenUsed/>
    <w:qFormat/>
    <w:rsid w:val="00062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qFormat/>
    <w:rsid w:val="00062F2E"/>
    <w:pPr>
      <w:widowControl w:val="0"/>
      <w:spacing w:after="120" w:line="30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Body Text Indent"/>
    <w:basedOn w:val="a"/>
    <w:rsid w:val="00062F2E"/>
    <w:pPr>
      <w:widowControl w:val="0"/>
      <w:spacing w:after="120" w:line="30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qFormat/>
    <w:rsid w:val="00062F2E"/>
    <w:pPr>
      <w:widowControl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qFormat/>
    <w:rsid w:val="00062F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Subtitle"/>
    <w:basedOn w:val="a"/>
    <w:qFormat/>
    <w:rsid w:val="00062F2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1">
    <w:name w:val="Обычный1"/>
    <w:qFormat/>
    <w:rsid w:val="00062F2E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062F2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basedOn w:val="a"/>
  </w:style>
  <w:style w:type="paragraph" w:styleId="aff5">
    <w:name w:val="No Spacing"/>
    <w:uiPriority w:val="1"/>
    <w:qFormat/>
    <w:rsid w:val="002C0BF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rPr>
      <w:b/>
      <w:bCs/>
    </w:rPr>
  </w:style>
  <w:style w:type="table" w:styleId="aff9">
    <w:name w:val="Table Grid"/>
    <w:basedOn w:val="a1"/>
    <w:uiPriority w:val="99"/>
    <w:rsid w:val="00C55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166B-E8E5-4761-AD17-B2BE4286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8120</Words>
  <Characters>46286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1</cp:lastModifiedBy>
  <cp:revision>5</cp:revision>
  <cp:lastPrinted>2019-04-18T09:36:00Z</cp:lastPrinted>
  <dcterms:created xsi:type="dcterms:W3CDTF">2021-07-21T12:07:00Z</dcterms:created>
  <dcterms:modified xsi:type="dcterms:W3CDTF">2021-07-22T06:18:00Z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BEST XP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