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4EC" w:rsidRPr="008F4A25" w:rsidRDefault="00E214EC" w:rsidP="007A74E7">
      <w:pPr>
        <w:spacing w:line="240" w:lineRule="atLeast"/>
        <w:ind w:right="5387"/>
        <w:contextualSpacing/>
        <w:rPr>
          <w:sz w:val="26"/>
          <w:szCs w:val="26"/>
        </w:rPr>
      </w:pPr>
      <w:r>
        <w:rPr>
          <w:sz w:val="26"/>
          <w:szCs w:val="26"/>
        </w:rPr>
        <w:t>Отчёт</w:t>
      </w:r>
      <w:r w:rsidRPr="00E214EC">
        <w:rPr>
          <w:sz w:val="26"/>
          <w:szCs w:val="26"/>
        </w:rPr>
        <w:t xml:space="preserve"> по достижению базовых (стартовы</w:t>
      </w:r>
      <w:r>
        <w:rPr>
          <w:sz w:val="26"/>
          <w:szCs w:val="26"/>
        </w:rPr>
        <w:t>х) экспертных уровней показателей</w:t>
      </w:r>
      <w:r w:rsidRPr="00E214EC">
        <w:rPr>
          <w:sz w:val="26"/>
          <w:szCs w:val="26"/>
        </w:rPr>
        <w:t xml:space="preserve"> для обеспечения сопоставимости в отношении данных, свидетельствующих о прогрессе достижения ЦУР на территории</w:t>
      </w:r>
      <w:r>
        <w:rPr>
          <w:sz w:val="26"/>
          <w:szCs w:val="26"/>
        </w:rPr>
        <w:t xml:space="preserve"> Минской области</w:t>
      </w:r>
      <w:r w:rsidR="00605AEA">
        <w:rPr>
          <w:sz w:val="26"/>
          <w:szCs w:val="26"/>
        </w:rPr>
        <w:t xml:space="preserve"> за 2021 год</w:t>
      </w:r>
    </w:p>
    <w:tbl>
      <w:tblPr>
        <w:tblpPr w:leftFromText="180" w:rightFromText="180" w:vertAnchor="text" w:horzAnchor="margin" w:tblpXSpec="center" w:tblpY="369"/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64"/>
        <w:gridCol w:w="5812"/>
        <w:gridCol w:w="1701"/>
        <w:gridCol w:w="1559"/>
      </w:tblGrid>
      <w:tr w:rsidR="00841734" w:rsidRPr="00F47A7A" w:rsidTr="00605AEA">
        <w:trPr>
          <w:trHeight w:val="1975"/>
          <w:jc w:val="center"/>
        </w:trPr>
        <w:tc>
          <w:tcPr>
            <w:tcW w:w="534" w:type="dxa"/>
          </w:tcPr>
          <w:p w:rsidR="00841734" w:rsidRPr="00F47A7A" w:rsidRDefault="00841734" w:rsidP="005D1564">
            <w:pPr>
              <w:spacing w:line="260" w:lineRule="exact"/>
              <w:ind w:right="120"/>
              <w:rPr>
                <w:b/>
                <w:sz w:val="26"/>
                <w:szCs w:val="26"/>
              </w:rPr>
            </w:pPr>
            <w:r w:rsidRPr="00F47A7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564" w:type="dxa"/>
          </w:tcPr>
          <w:p w:rsidR="00841734" w:rsidRPr="00A66C65" w:rsidRDefault="00841734" w:rsidP="005D1564">
            <w:pPr>
              <w:spacing w:line="260" w:lineRule="exact"/>
              <w:ind w:left="142" w:right="120"/>
              <w:rPr>
                <w:b/>
                <w:sz w:val="18"/>
                <w:szCs w:val="26"/>
              </w:rPr>
            </w:pPr>
            <w:r w:rsidRPr="00A66C65">
              <w:rPr>
                <w:b/>
                <w:sz w:val="18"/>
                <w:szCs w:val="26"/>
              </w:rPr>
              <w:t>Наименование показателей Целей устойчивого развития</w:t>
            </w:r>
          </w:p>
        </w:tc>
        <w:tc>
          <w:tcPr>
            <w:tcW w:w="5812" w:type="dxa"/>
          </w:tcPr>
          <w:p w:rsidR="00841734" w:rsidRPr="00A8546A" w:rsidRDefault="00841734" w:rsidP="005D1564">
            <w:pPr>
              <w:rPr>
                <w:b/>
                <w:sz w:val="20"/>
                <w:szCs w:val="20"/>
              </w:rPr>
            </w:pPr>
            <w:r w:rsidRPr="00A8546A">
              <w:rPr>
                <w:b/>
                <w:sz w:val="20"/>
                <w:szCs w:val="20"/>
              </w:rPr>
              <w:t>Базов</w:t>
            </w:r>
            <w:r>
              <w:rPr>
                <w:b/>
                <w:sz w:val="20"/>
                <w:szCs w:val="20"/>
              </w:rPr>
              <w:t>ые (стартовые) уровни экспертных показателей</w:t>
            </w:r>
            <w:r w:rsidRPr="00A8546A">
              <w:rPr>
                <w:b/>
                <w:sz w:val="20"/>
                <w:szCs w:val="20"/>
              </w:rPr>
              <w:t xml:space="preserve"> Минской области </w:t>
            </w:r>
          </w:p>
          <w:p w:rsidR="00841734" w:rsidRPr="00A66C65" w:rsidRDefault="00841734" w:rsidP="005D1564">
            <w:pPr>
              <w:rPr>
                <w:i/>
                <w:sz w:val="18"/>
              </w:rPr>
            </w:pPr>
          </w:p>
        </w:tc>
        <w:tc>
          <w:tcPr>
            <w:tcW w:w="1701" w:type="dxa"/>
          </w:tcPr>
          <w:p w:rsidR="00841734" w:rsidRPr="00A66C65" w:rsidRDefault="00841734" w:rsidP="005D1564">
            <w:pPr>
              <w:spacing w:line="260" w:lineRule="exact"/>
              <w:ind w:left="34" w:right="176"/>
              <w:rPr>
                <w:b/>
                <w:sz w:val="18"/>
                <w:szCs w:val="26"/>
              </w:rPr>
            </w:pPr>
            <w:r w:rsidRPr="00A66C65">
              <w:rPr>
                <w:b/>
                <w:sz w:val="18"/>
                <w:szCs w:val="26"/>
              </w:rPr>
              <w:t>Значения уровней экспертных показателей Минской области</w:t>
            </w:r>
            <w:r>
              <w:rPr>
                <w:b/>
                <w:sz w:val="18"/>
                <w:szCs w:val="26"/>
              </w:rPr>
              <w:t xml:space="preserve"> за</w:t>
            </w:r>
          </w:p>
          <w:p w:rsidR="00841734" w:rsidRPr="00A66C65" w:rsidRDefault="00841734" w:rsidP="005D1564">
            <w:pPr>
              <w:spacing w:line="260" w:lineRule="exact"/>
              <w:ind w:left="34" w:right="176"/>
              <w:rPr>
                <w:b/>
                <w:sz w:val="18"/>
                <w:szCs w:val="26"/>
              </w:rPr>
            </w:pPr>
            <w:r>
              <w:rPr>
                <w:b/>
                <w:sz w:val="18"/>
              </w:rPr>
              <w:t xml:space="preserve">2020 г., </w:t>
            </w:r>
          </w:p>
        </w:tc>
        <w:tc>
          <w:tcPr>
            <w:tcW w:w="1559" w:type="dxa"/>
          </w:tcPr>
          <w:p w:rsidR="00841734" w:rsidRPr="00841734" w:rsidRDefault="00841734" w:rsidP="005D1564">
            <w:pPr>
              <w:spacing w:line="260" w:lineRule="exact"/>
              <w:ind w:left="34" w:right="176"/>
              <w:rPr>
                <w:b/>
                <w:sz w:val="18"/>
                <w:szCs w:val="26"/>
              </w:rPr>
            </w:pPr>
            <w:r w:rsidRPr="00841734">
              <w:rPr>
                <w:b/>
                <w:sz w:val="18"/>
                <w:szCs w:val="26"/>
              </w:rPr>
              <w:t>Значения уровней экспертных показателей Минской области за</w:t>
            </w:r>
          </w:p>
          <w:p w:rsidR="00841734" w:rsidRPr="00A66C65" w:rsidRDefault="00841734" w:rsidP="005D1564">
            <w:pPr>
              <w:spacing w:line="260" w:lineRule="exact"/>
              <w:ind w:left="34" w:right="176"/>
              <w:rPr>
                <w:b/>
                <w:sz w:val="18"/>
                <w:szCs w:val="26"/>
              </w:rPr>
            </w:pPr>
            <w:r>
              <w:rPr>
                <w:b/>
                <w:sz w:val="18"/>
                <w:szCs w:val="26"/>
              </w:rPr>
              <w:t>2021</w:t>
            </w:r>
            <w:r w:rsidRPr="00841734">
              <w:rPr>
                <w:b/>
                <w:sz w:val="18"/>
                <w:szCs w:val="26"/>
              </w:rPr>
              <w:t xml:space="preserve"> г., </w:t>
            </w:r>
          </w:p>
        </w:tc>
      </w:tr>
      <w:tr w:rsidR="00841734" w:rsidRPr="00F47A7A" w:rsidTr="005D1564">
        <w:trPr>
          <w:trHeight w:val="1949"/>
          <w:jc w:val="center"/>
        </w:trPr>
        <w:tc>
          <w:tcPr>
            <w:tcW w:w="534" w:type="dxa"/>
          </w:tcPr>
          <w:p w:rsidR="00841734" w:rsidRPr="00F47A7A" w:rsidRDefault="00841734" w:rsidP="005D1564">
            <w:pPr>
              <w:spacing w:line="260" w:lineRule="exact"/>
              <w:ind w:right="120"/>
              <w:rPr>
                <w:sz w:val="26"/>
                <w:szCs w:val="26"/>
              </w:rPr>
            </w:pPr>
            <w:r w:rsidRPr="00F47A7A">
              <w:rPr>
                <w:sz w:val="26"/>
                <w:szCs w:val="26"/>
              </w:rPr>
              <w:t>1</w:t>
            </w:r>
          </w:p>
        </w:tc>
        <w:tc>
          <w:tcPr>
            <w:tcW w:w="4564" w:type="dxa"/>
          </w:tcPr>
          <w:p w:rsidR="00841734" w:rsidRPr="00F47A7A" w:rsidRDefault="00841734" w:rsidP="005D1564">
            <w:pPr>
              <w:spacing w:line="260" w:lineRule="exact"/>
              <w:ind w:right="120"/>
              <w:rPr>
                <w:sz w:val="26"/>
                <w:szCs w:val="26"/>
              </w:rPr>
            </w:pPr>
            <w:r w:rsidRPr="00F47A7A">
              <w:rPr>
                <w:sz w:val="26"/>
                <w:szCs w:val="26"/>
              </w:rPr>
              <w:t>3.b.1. «Доля целевой группы населения, охваченной иммунизацией всеми вакцинами, включенными в национальные программы»;</w:t>
            </w:r>
          </w:p>
          <w:p w:rsidR="00841734" w:rsidRPr="00F47A7A" w:rsidRDefault="00841734" w:rsidP="005D1564">
            <w:pPr>
              <w:spacing w:line="260" w:lineRule="exact"/>
              <w:ind w:right="120"/>
              <w:rPr>
                <w:b/>
                <w:sz w:val="26"/>
                <w:szCs w:val="26"/>
              </w:rPr>
            </w:pPr>
            <w:r w:rsidRPr="00F47A7A">
              <w:rPr>
                <w:sz w:val="26"/>
                <w:szCs w:val="26"/>
              </w:rPr>
              <w:t>6.b.</w:t>
            </w:r>
            <w:r>
              <w:rPr>
                <w:sz w:val="26"/>
                <w:szCs w:val="26"/>
              </w:rPr>
              <w:t xml:space="preserve">1. «Доля местных адм. </w:t>
            </w:r>
            <w:r w:rsidRPr="00F47A7A">
              <w:rPr>
                <w:sz w:val="26"/>
                <w:szCs w:val="26"/>
              </w:rPr>
              <w:t>единиц, в которых действуют правила и процедуры участия граждан в управлении водными ресурсами и санитарией»</w:t>
            </w:r>
          </w:p>
        </w:tc>
        <w:tc>
          <w:tcPr>
            <w:tcW w:w="5812" w:type="dxa"/>
          </w:tcPr>
          <w:p w:rsidR="00841734" w:rsidRDefault="00841734" w:rsidP="005D1564">
            <w:pPr>
              <w:jc w:val="both"/>
              <w:rPr>
                <w:bCs/>
              </w:rPr>
            </w:pPr>
            <w:r w:rsidRPr="00F47A7A">
              <w:rPr>
                <w:bCs/>
              </w:rPr>
              <w:t xml:space="preserve">Инфекционные и паразитарные болезни с впервые в жизни установленным диагнозом </w:t>
            </w:r>
          </w:p>
          <w:p w:rsidR="00841734" w:rsidRDefault="00841734" w:rsidP="005D1564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на 100 000 населения,</w:t>
            </w:r>
          </w:p>
          <w:p w:rsidR="00841734" w:rsidRDefault="00841734" w:rsidP="005D1564">
            <w:pPr>
              <w:spacing w:line="260" w:lineRule="exact"/>
              <w:rPr>
                <w:b/>
                <w:bCs/>
              </w:rPr>
            </w:pPr>
          </w:p>
          <w:p w:rsidR="00841734" w:rsidRPr="00C1457D" w:rsidRDefault="00841734" w:rsidP="005D1564">
            <w:pPr>
              <w:spacing w:line="260" w:lineRule="exact"/>
              <w:rPr>
                <w:b/>
                <w:bCs/>
              </w:rPr>
            </w:pPr>
            <w:r w:rsidRPr="00F47A7A">
              <w:rPr>
                <w:b/>
                <w:bCs/>
              </w:rPr>
              <w:t>181,9 на 100 тыс. населения</w:t>
            </w:r>
          </w:p>
        </w:tc>
        <w:tc>
          <w:tcPr>
            <w:tcW w:w="1701" w:type="dxa"/>
            <w:vAlign w:val="center"/>
          </w:tcPr>
          <w:p w:rsidR="00841734" w:rsidRDefault="00841734" w:rsidP="005D1564">
            <w:pPr>
              <w:spacing w:line="260" w:lineRule="exact"/>
              <w:rPr>
                <w:b/>
                <w:bCs/>
              </w:rPr>
            </w:pPr>
          </w:p>
          <w:p w:rsidR="00841734" w:rsidRDefault="00841734" w:rsidP="005D1564">
            <w:pPr>
              <w:spacing w:line="260" w:lineRule="exact"/>
              <w:rPr>
                <w:b/>
                <w:bCs/>
              </w:rPr>
            </w:pPr>
            <w:r w:rsidRPr="00F47A7A">
              <w:rPr>
                <w:b/>
                <w:bCs/>
              </w:rPr>
              <w:t>1</w:t>
            </w:r>
            <w:r>
              <w:rPr>
                <w:b/>
                <w:bCs/>
              </w:rPr>
              <w:t>24</w:t>
            </w:r>
            <w:r w:rsidRPr="00F47A7A">
              <w:rPr>
                <w:b/>
                <w:bCs/>
              </w:rPr>
              <w:t>,</w:t>
            </w:r>
            <w:r>
              <w:rPr>
                <w:b/>
                <w:bCs/>
              </w:rPr>
              <w:t>26</w:t>
            </w:r>
          </w:p>
          <w:p w:rsidR="00841734" w:rsidRPr="00F47A7A" w:rsidRDefault="00841734" w:rsidP="005D1564">
            <w:pPr>
              <w:spacing w:line="260" w:lineRule="exact"/>
              <w:rPr>
                <w:b/>
                <w:bCs/>
              </w:rPr>
            </w:pPr>
            <w:r w:rsidRPr="00F47A7A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841734" w:rsidRDefault="005D1564" w:rsidP="005D1564">
            <w:pPr>
              <w:spacing w:line="260" w:lineRule="exact"/>
              <w:rPr>
                <w:b/>
                <w:bCs/>
              </w:rPr>
            </w:pPr>
            <w:r w:rsidRPr="005D1564">
              <w:rPr>
                <w:b/>
                <w:bCs/>
              </w:rPr>
              <w:t>139,00</w:t>
            </w:r>
          </w:p>
        </w:tc>
      </w:tr>
      <w:tr w:rsidR="00841734" w:rsidRPr="00F47A7A" w:rsidTr="005D1564">
        <w:trPr>
          <w:trHeight w:val="1127"/>
          <w:jc w:val="center"/>
        </w:trPr>
        <w:tc>
          <w:tcPr>
            <w:tcW w:w="534" w:type="dxa"/>
            <w:vMerge w:val="restart"/>
          </w:tcPr>
          <w:p w:rsidR="00841734" w:rsidRPr="005C5695" w:rsidRDefault="00841734" w:rsidP="005D1564">
            <w:pPr>
              <w:spacing w:line="260" w:lineRule="exact"/>
              <w:ind w:left="142" w:right="120"/>
              <w:rPr>
                <w:sz w:val="26"/>
                <w:szCs w:val="26"/>
              </w:rPr>
            </w:pPr>
            <w:r w:rsidRPr="005C5695">
              <w:rPr>
                <w:sz w:val="26"/>
                <w:szCs w:val="26"/>
              </w:rPr>
              <w:t>2</w:t>
            </w:r>
          </w:p>
        </w:tc>
        <w:tc>
          <w:tcPr>
            <w:tcW w:w="4564" w:type="dxa"/>
            <w:vMerge w:val="restart"/>
          </w:tcPr>
          <w:p w:rsidR="00841734" w:rsidRPr="005C5695" w:rsidRDefault="00841734" w:rsidP="005D1564">
            <w:pPr>
              <w:spacing w:line="260" w:lineRule="exact"/>
              <w:ind w:left="-77" w:right="120"/>
              <w:rPr>
                <w:b/>
                <w:sz w:val="26"/>
                <w:szCs w:val="26"/>
              </w:rPr>
            </w:pPr>
            <w:r w:rsidRPr="005C5695">
              <w:rPr>
                <w:sz w:val="26"/>
                <w:szCs w:val="26"/>
              </w:rPr>
              <w:t>3.9.2 «Смертность от отсутствия безопасной воды, безопасной санитарии и гигиены (от отсутствия безопасных услуг в области водоснабжения, санитарии и гигиены (ВССГ) для всех)»</w:t>
            </w:r>
          </w:p>
        </w:tc>
        <w:tc>
          <w:tcPr>
            <w:tcW w:w="5812" w:type="dxa"/>
            <w:vMerge w:val="restart"/>
          </w:tcPr>
          <w:p w:rsidR="00841734" w:rsidRPr="005C5695" w:rsidRDefault="00841734" w:rsidP="005D1564">
            <w:pPr>
              <w:jc w:val="both"/>
              <w:rPr>
                <w:b/>
              </w:rPr>
            </w:pPr>
            <w:r w:rsidRPr="005C5695">
              <w:t>(%)Удельный вес проб воды не соотв. нормативам по микробиологическому (вирусологическому) загрязнению</w:t>
            </w:r>
            <w:r w:rsidRPr="005C5695">
              <w:br/>
            </w:r>
            <w:r w:rsidRPr="005C5695">
              <w:rPr>
                <w:i/>
              </w:rPr>
              <w:t>-централизованные источники водоснабжения</w:t>
            </w:r>
            <w:r w:rsidRPr="005C5695">
              <w:rPr>
                <w:i/>
              </w:rPr>
              <w:br/>
            </w:r>
            <w:r w:rsidRPr="005C5695">
              <w:rPr>
                <w:b/>
              </w:rPr>
              <w:t xml:space="preserve"> не более 2 %</w:t>
            </w:r>
          </w:p>
          <w:p w:rsidR="00841734" w:rsidRPr="005C5695" w:rsidRDefault="00841734" w:rsidP="005D1564">
            <w:pPr>
              <w:jc w:val="both"/>
              <w:rPr>
                <w:b/>
              </w:rPr>
            </w:pPr>
          </w:p>
          <w:p w:rsidR="00841734" w:rsidRPr="005C5695" w:rsidRDefault="00841734" w:rsidP="005D1564">
            <w:pPr>
              <w:jc w:val="both"/>
              <w:rPr>
                <w:b/>
              </w:rPr>
            </w:pPr>
          </w:p>
          <w:p w:rsidR="00841734" w:rsidRPr="005C5695" w:rsidRDefault="00841734" w:rsidP="005D1564">
            <w:pPr>
              <w:jc w:val="both"/>
              <w:rPr>
                <w:b/>
              </w:rPr>
            </w:pPr>
          </w:p>
          <w:p w:rsidR="00841734" w:rsidRPr="005C5695" w:rsidRDefault="00841734" w:rsidP="005D1564">
            <w:pPr>
              <w:jc w:val="both"/>
              <w:rPr>
                <w:i/>
              </w:rPr>
            </w:pPr>
            <w:r w:rsidRPr="005C5695">
              <w:rPr>
                <w:i/>
              </w:rPr>
              <w:t xml:space="preserve"> -децентрализованные источники водоснабжения</w:t>
            </w:r>
          </w:p>
          <w:p w:rsidR="00841734" w:rsidRPr="005C5695" w:rsidRDefault="00841734" w:rsidP="005D1564">
            <w:pPr>
              <w:jc w:val="both"/>
            </w:pPr>
            <w:r w:rsidRPr="005C5695">
              <w:rPr>
                <w:b/>
              </w:rPr>
              <w:t>не более 20 %</w:t>
            </w:r>
          </w:p>
        </w:tc>
        <w:tc>
          <w:tcPr>
            <w:tcW w:w="1701" w:type="dxa"/>
          </w:tcPr>
          <w:p w:rsidR="00841734" w:rsidRPr="005C5695" w:rsidRDefault="00841734" w:rsidP="005D1564">
            <w:pPr>
              <w:spacing w:line="260" w:lineRule="exact"/>
              <w:ind w:left="34"/>
              <w:rPr>
                <w:b/>
                <w:i/>
              </w:rPr>
            </w:pPr>
          </w:p>
          <w:p w:rsidR="00841734" w:rsidRPr="005C5695" w:rsidRDefault="00841734" w:rsidP="005D1564">
            <w:pPr>
              <w:spacing w:line="260" w:lineRule="exact"/>
              <w:ind w:left="34"/>
              <w:rPr>
                <w:b/>
                <w:i/>
              </w:rPr>
            </w:pPr>
          </w:p>
          <w:p w:rsidR="00841734" w:rsidRPr="005C5695" w:rsidRDefault="00841734" w:rsidP="005D1564">
            <w:pPr>
              <w:spacing w:line="260" w:lineRule="exact"/>
              <w:rPr>
                <w:b/>
                <w:i/>
              </w:rPr>
            </w:pPr>
          </w:p>
          <w:p w:rsidR="00841734" w:rsidRPr="005C5695" w:rsidRDefault="00841734" w:rsidP="005D1564">
            <w:pPr>
              <w:spacing w:line="260" w:lineRule="exact"/>
              <w:ind w:left="34"/>
              <w:rPr>
                <w:b/>
                <w:i/>
              </w:rPr>
            </w:pPr>
          </w:p>
          <w:p w:rsidR="00841734" w:rsidRPr="005C5695" w:rsidRDefault="00110893" w:rsidP="005D1564">
            <w:pPr>
              <w:spacing w:line="260" w:lineRule="exact"/>
              <w:rPr>
                <w:b/>
              </w:rPr>
            </w:pPr>
            <w:r w:rsidRPr="005C5695">
              <w:rPr>
                <w:b/>
                <w:i/>
              </w:rPr>
              <w:t>1,2</w:t>
            </w:r>
            <w:r w:rsidR="00841734" w:rsidRPr="005C5695">
              <w:rPr>
                <w:b/>
                <w:i/>
              </w:rPr>
              <w:t>%</w:t>
            </w:r>
          </w:p>
        </w:tc>
        <w:tc>
          <w:tcPr>
            <w:tcW w:w="1559" w:type="dxa"/>
          </w:tcPr>
          <w:p w:rsidR="00841734" w:rsidRDefault="00841734" w:rsidP="005D1564">
            <w:pPr>
              <w:spacing w:line="260" w:lineRule="exact"/>
              <w:ind w:left="34"/>
              <w:rPr>
                <w:b/>
                <w:i/>
                <w:highlight w:val="yellow"/>
              </w:rPr>
            </w:pPr>
          </w:p>
          <w:p w:rsidR="00755E8E" w:rsidRDefault="00755E8E" w:rsidP="005D1564">
            <w:pPr>
              <w:spacing w:line="260" w:lineRule="exact"/>
              <w:ind w:left="34"/>
              <w:rPr>
                <w:b/>
                <w:i/>
                <w:highlight w:val="yellow"/>
              </w:rPr>
            </w:pPr>
          </w:p>
          <w:p w:rsidR="00755E8E" w:rsidRDefault="00755E8E" w:rsidP="005D1564">
            <w:pPr>
              <w:spacing w:line="260" w:lineRule="exact"/>
              <w:ind w:left="34"/>
              <w:rPr>
                <w:b/>
                <w:i/>
                <w:highlight w:val="yellow"/>
              </w:rPr>
            </w:pPr>
          </w:p>
          <w:p w:rsidR="00755E8E" w:rsidRDefault="00755E8E" w:rsidP="005D1564">
            <w:pPr>
              <w:spacing w:line="260" w:lineRule="exact"/>
              <w:ind w:left="34"/>
              <w:rPr>
                <w:b/>
                <w:i/>
                <w:highlight w:val="yellow"/>
              </w:rPr>
            </w:pPr>
          </w:p>
          <w:p w:rsidR="00755E8E" w:rsidRPr="00937C1E" w:rsidRDefault="00755E8E" w:rsidP="005D1564">
            <w:pPr>
              <w:spacing w:line="260" w:lineRule="exact"/>
              <w:ind w:left="34"/>
              <w:rPr>
                <w:b/>
                <w:i/>
                <w:highlight w:val="yellow"/>
              </w:rPr>
            </w:pPr>
            <w:r w:rsidRPr="00755E8E">
              <w:rPr>
                <w:b/>
                <w:i/>
              </w:rPr>
              <w:t>0,6%</w:t>
            </w:r>
          </w:p>
        </w:tc>
      </w:tr>
      <w:tr w:rsidR="00841734" w:rsidRPr="00F47A7A" w:rsidTr="005D1564">
        <w:trPr>
          <w:trHeight w:val="844"/>
          <w:jc w:val="center"/>
        </w:trPr>
        <w:tc>
          <w:tcPr>
            <w:tcW w:w="534" w:type="dxa"/>
            <w:vMerge/>
          </w:tcPr>
          <w:p w:rsidR="00841734" w:rsidRPr="005C5695" w:rsidRDefault="00841734" w:rsidP="005D1564">
            <w:pPr>
              <w:spacing w:line="260" w:lineRule="exact"/>
              <w:ind w:left="142" w:right="120"/>
              <w:rPr>
                <w:sz w:val="26"/>
                <w:szCs w:val="26"/>
              </w:rPr>
            </w:pPr>
          </w:p>
        </w:tc>
        <w:tc>
          <w:tcPr>
            <w:tcW w:w="4564" w:type="dxa"/>
            <w:vMerge/>
          </w:tcPr>
          <w:p w:rsidR="00841734" w:rsidRPr="005C5695" w:rsidRDefault="00841734" w:rsidP="005D1564">
            <w:pPr>
              <w:spacing w:line="260" w:lineRule="exact"/>
              <w:ind w:left="142" w:right="120"/>
              <w:rPr>
                <w:sz w:val="26"/>
                <w:szCs w:val="26"/>
              </w:rPr>
            </w:pPr>
          </w:p>
        </w:tc>
        <w:tc>
          <w:tcPr>
            <w:tcW w:w="5812" w:type="dxa"/>
            <w:vMerge/>
          </w:tcPr>
          <w:p w:rsidR="00841734" w:rsidRPr="005C5695" w:rsidRDefault="00841734" w:rsidP="005D1564">
            <w:pPr>
              <w:jc w:val="both"/>
            </w:pPr>
          </w:p>
        </w:tc>
        <w:tc>
          <w:tcPr>
            <w:tcW w:w="1701" w:type="dxa"/>
          </w:tcPr>
          <w:p w:rsidR="00841734" w:rsidRPr="005C5695" w:rsidRDefault="00841734" w:rsidP="005D1564">
            <w:pPr>
              <w:spacing w:line="260" w:lineRule="exact"/>
              <w:ind w:right="3"/>
              <w:rPr>
                <w:b/>
                <w:i/>
              </w:rPr>
            </w:pPr>
          </w:p>
          <w:p w:rsidR="00841734" w:rsidRPr="005C5695" w:rsidRDefault="00841734" w:rsidP="005D1564">
            <w:pPr>
              <w:spacing w:line="260" w:lineRule="exact"/>
              <w:ind w:right="3"/>
              <w:rPr>
                <w:b/>
                <w:i/>
              </w:rPr>
            </w:pPr>
          </w:p>
          <w:p w:rsidR="00841734" w:rsidRPr="005C5695" w:rsidRDefault="00841734" w:rsidP="005D1564">
            <w:pPr>
              <w:spacing w:line="260" w:lineRule="exact"/>
              <w:ind w:right="3"/>
              <w:rPr>
                <w:b/>
                <w:i/>
              </w:rPr>
            </w:pPr>
          </w:p>
          <w:p w:rsidR="00841734" w:rsidRPr="005C5695" w:rsidRDefault="00841734" w:rsidP="005D1564">
            <w:pPr>
              <w:spacing w:line="260" w:lineRule="exact"/>
              <w:ind w:right="3"/>
              <w:rPr>
                <w:b/>
                <w:i/>
              </w:rPr>
            </w:pPr>
          </w:p>
          <w:p w:rsidR="00841734" w:rsidRPr="005C5695" w:rsidRDefault="00110893" w:rsidP="005D1564">
            <w:pPr>
              <w:spacing w:line="260" w:lineRule="exact"/>
              <w:ind w:right="3"/>
              <w:rPr>
                <w:b/>
                <w:i/>
              </w:rPr>
            </w:pPr>
            <w:r w:rsidRPr="005C5695">
              <w:rPr>
                <w:b/>
                <w:i/>
              </w:rPr>
              <w:t>17,7</w:t>
            </w:r>
          </w:p>
        </w:tc>
        <w:tc>
          <w:tcPr>
            <w:tcW w:w="1559" w:type="dxa"/>
          </w:tcPr>
          <w:p w:rsidR="00841734" w:rsidRDefault="00841734" w:rsidP="005D1564">
            <w:pPr>
              <w:spacing w:line="260" w:lineRule="exact"/>
              <w:ind w:left="34" w:right="3"/>
              <w:rPr>
                <w:b/>
                <w:i/>
                <w:highlight w:val="yellow"/>
              </w:rPr>
            </w:pPr>
          </w:p>
          <w:p w:rsidR="00755E8E" w:rsidRDefault="00755E8E" w:rsidP="005D1564">
            <w:pPr>
              <w:spacing w:line="260" w:lineRule="exact"/>
              <w:ind w:left="34" w:right="3"/>
              <w:rPr>
                <w:b/>
                <w:i/>
                <w:highlight w:val="yellow"/>
              </w:rPr>
            </w:pPr>
          </w:p>
          <w:p w:rsidR="00755E8E" w:rsidRDefault="00755E8E" w:rsidP="005D1564">
            <w:pPr>
              <w:spacing w:line="260" w:lineRule="exact"/>
              <w:ind w:left="34" w:right="3"/>
              <w:rPr>
                <w:b/>
                <w:i/>
                <w:highlight w:val="yellow"/>
              </w:rPr>
            </w:pPr>
          </w:p>
          <w:p w:rsidR="00755E8E" w:rsidRDefault="00755E8E" w:rsidP="005D1564">
            <w:pPr>
              <w:spacing w:line="260" w:lineRule="exact"/>
              <w:ind w:left="34" w:right="3"/>
              <w:rPr>
                <w:b/>
                <w:i/>
                <w:highlight w:val="yellow"/>
              </w:rPr>
            </w:pPr>
          </w:p>
          <w:p w:rsidR="00755E8E" w:rsidRPr="00937C1E" w:rsidRDefault="00755E8E" w:rsidP="005D1564">
            <w:pPr>
              <w:spacing w:line="260" w:lineRule="exact"/>
              <w:ind w:left="34" w:right="3"/>
              <w:rPr>
                <w:b/>
                <w:i/>
                <w:highlight w:val="yellow"/>
              </w:rPr>
            </w:pPr>
            <w:r w:rsidRPr="00755E8E">
              <w:rPr>
                <w:b/>
                <w:i/>
              </w:rPr>
              <w:t>18,8%</w:t>
            </w:r>
          </w:p>
        </w:tc>
      </w:tr>
      <w:tr w:rsidR="00841734" w:rsidRPr="00F47A7A" w:rsidTr="005C5695">
        <w:trPr>
          <w:trHeight w:val="1692"/>
          <w:jc w:val="center"/>
        </w:trPr>
        <w:tc>
          <w:tcPr>
            <w:tcW w:w="534" w:type="dxa"/>
            <w:vMerge/>
          </w:tcPr>
          <w:p w:rsidR="00841734" w:rsidRPr="005C5695" w:rsidRDefault="00841734" w:rsidP="005D1564">
            <w:pPr>
              <w:spacing w:line="260" w:lineRule="exact"/>
              <w:ind w:left="142" w:right="120"/>
              <w:rPr>
                <w:sz w:val="26"/>
                <w:szCs w:val="26"/>
              </w:rPr>
            </w:pPr>
          </w:p>
        </w:tc>
        <w:tc>
          <w:tcPr>
            <w:tcW w:w="4564" w:type="dxa"/>
            <w:vMerge/>
          </w:tcPr>
          <w:p w:rsidR="00841734" w:rsidRPr="005C5695" w:rsidRDefault="00841734" w:rsidP="005D1564">
            <w:pPr>
              <w:spacing w:line="260" w:lineRule="exact"/>
              <w:ind w:left="142" w:right="120"/>
              <w:rPr>
                <w:sz w:val="26"/>
                <w:szCs w:val="26"/>
              </w:rPr>
            </w:pPr>
          </w:p>
        </w:tc>
        <w:tc>
          <w:tcPr>
            <w:tcW w:w="5812" w:type="dxa"/>
            <w:vMerge w:val="restart"/>
            <w:shd w:val="clear" w:color="auto" w:fill="auto"/>
          </w:tcPr>
          <w:p w:rsidR="00841734" w:rsidRPr="005C5695" w:rsidRDefault="00841734" w:rsidP="005D1564">
            <w:pPr>
              <w:jc w:val="both"/>
              <w:rPr>
                <w:i/>
              </w:rPr>
            </w:pPr>
            <w:r w:rsidRPr="005C5695">
              <w:rPr>
                <w:szCs w:val="30"/>
              </w:rPr>
              <w:t>(%) удельный вес  проб воды, несоответствующих гигиеническим требованиям по санитарно-химическим показателям:</w:t>
            </w:r>
            <w:r w:rsidRPr="005C5695">
              <w:br/>
            </w:r>
            <w:r w:rsidRPr="005C5695">
              <w:rPr>
                <w:i/>
              </w:rPr>
              <w:t>-централизован. источники водоснабжения</w:t>
            </w:r>
          </w:p>
          <w:p w:rsidR="00841734" w:rsidRPr="005C5695" w:rsidRDefault="00841734" w:rsidP="005D1564">
            <w:pPr>
              <w:jc w:val="both"/>
              <w:rPr>
                <w:i/>
              </w:rPr>
            </w:pPr>
            <w:r w:rsidRPr="005C5695">
              <w:rPr>
                <w:b/>
              </w:rPr>
              <w:t>не более 40 %</w:t>
            </w:r>
          </w:p>
          <w:p w:rsidR="00841734" w:rsidRPr="005C5695" w:rsidRDefault="00841734" w:rsidP="005D1564">
            <w:pPr>
              <w:jc w:val="both"/>
              <w:rPr>
                <w:i/>
              </w:rPr>
            </w:pPr>
          </w:p>
          <w:p w:rsidR="00841734" w:rsidRPr="005C5695" w:rsidRDefault="00841734" w:rsidP="005D1564">
            <w:pPr>
              <w:jc w:val="both"/>
              <w:rPr>
                <w:i/>
              </w:rPr>
            </w:pPr>
            <w:r w:rsidRPr="005C5695">
              <w:rPr>
                <w:i/>
              </w:rPr>
              <w:lastRenderedPageBreak/>
              <w:t>-децентрализованные источники водоснабжения</w:t>
            </w:r>
          </w:p>
          <w:p w:rsidR="00841734" w:rsidRPr="005C5695" w:rsidRDefault="00841734" w:rsidP="005D1564">
            <w:pPr>
              <w:jc w:val="both"/>
            </w:pPr>
            <w:r w:rsidRPr="005C5695">
              <w:rPr>
                <w:b/>
              </w:rPr>
              <w:t>не более 30 %</w:t>
            </w:r>
          </w:p>
        </w:tc>
        <w:tc>
          <w:tcPr>
            <w:tcW w:w="1701" w:type="dxa"/>
            <w:shd w:val="clear" w:color="auto" w:fill="auto"/>
          </w:tcPr>
          <w:p w:rsidR="00841734" w:rsidRPr="005C5695" w:rsidRDefault="00841734" w:rsidP="005D1564">
            <w:pPr>
              <w:spacing w:line="260" w:lineRule="exact"/>
              <w:ind w:right="176"/>
              <w:rPr>
                <w:b/>
                <w:i/>
              </w:rPr>
            </w:pPr>
          </w:p>
          <w:p w:rsidR="00841734" w:rsidRPr="005C5695" w:rsidRDefault="00110893" w:rsidP="005D1564">
            <w:pPr>
              <w:spacing w:line="260" w:lineRule="exact"/>
              <w:ind w:right="176"/>
              <w:rPr>
                <w:b/>
                <w:i/>
              </w:rPr>
            </w:pPr>
            <w:r w:rsidRPr="005C5695">
              <w:rPr>
                <w:b/>
                <w:i/>
              </w:rPr>
              <w:t>42,7</w:t>
            </w:r>
            <w:r w:rsidR="00841734" w:rsidRPr="005C5695">
              <w:rPr>
                <w:b/>
                <w:i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841734" w:rsidRPr="005C5695" w:rsidRDefault="00841734" w:rsidP="005D1564">
            <w:pPr>
              <w:spacing w:line="260" w:lineRule="exact"/>
              <w:ind w:left="34" w:right="176"/>
              <w:rPr>
                <w:b/>
                <w:i/>
              </w:rPr>
            </w:pPr>
          </w:p>
          <w:p w:rsidR="00755E8E" w:rsidRPr="005C5695" w:rsidRDefault="00755E8E" w:rsidP="005D1564">
            <w:pPr>
              <w:spacing w:line="260" w:lineRule="exact"/>
              <w:ind w:right="176"/>
              <w:rPr>
                <w:b/>
                <w:i/>
              </w:rPr>
            </w:pPr>
            <w:r w:rsidRPr="005C5695">
              <w:rPr>
                <w:b/>
                <w:i/>
              </w:rPr>
              <w:t>38,3%</w:t>
            </w:r>
          </w:p>
        </w:tc>
      </w:tr>
      <w:tr w:rsidR="00841734" w:rsidRPr="00F47A7A" w:rsidTr="005C5695">
        <w:trPr>
          <w:trHeight w:val="2070"/>
          <w:jc w:val="center"/>
        </w:trPr>
        <w:tc>
          <w:tcPr>
            <w:tcW w:w="534" w:type="dxa"/>
            <w:vMerge/>
          </w:tcPr>
          <w:p w:rsidR="00841734" w:rsidRPr="00937C1E" w:rsidRDefault="00841734" w:rsidP="005D1564">
            <w:pPr>
              <w:spacing w:line="260" w:lineRule="exact"/>
              <w:ind w:left="142" w:right="120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564" w:type="dxa"/>
            <w:vMerge/>
          </w:tcPr>
          <w:p w:rsidR="00841734" w:rsidRPr="00937C1E" w:rsidRDefault="00841734" w:rsidP="005D1564">
            <w:pPr>
              <w:spacing w:line="260" w:lineRule="exact"/>
              <w:ind w:left="142" w:right="120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841734" w:rsidRPr="005C5695" w:rsidRDefault="00841734" w:rsidP="005D1564">
            <w:pPr>
              <w:jc w:val="both"/>
              <w:rPr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841734" w:rsidRPr="005C5695" w:rsidRDefault="00841734" w:rsidP="005D1564">
            <w:pPr>
              <w:spacing w:line="260" w:lineRule="exact"/>
              <w:ind w:right="176"/>
              <w:rPr>
                <w:b/>
              </w:rPr>
            </w:pPr>
          </w:p>
          <w:p w:rsidR="00841734" w:rsidRPr="005C5695" w:rsidRDefault="00841734" w:rsidP="005D1564">
            <w:pPr>
              <w:spacing w:line="260" w:lineRule="exact"/>
              <w:ind w:right="176"/>
              <w:rPr>
                <w:b/>
              </w:rPr>
            </w:pPr>
          </w:p>
          <w:p w:rsidR="00841734" w:rsidRPr="005C5695" w:rsidRDefault="00841734" w:rsidP="005D1564">
            <w:pPr>
              <w:spacing w:line="260" w:lineRule="exact"/>
              <w:ind w:right="176"/>
              <w:rPr>
                <w:b/>
              </w:rPr>
            </w:pPr>
            <w:r w:rsidRPr="005C5695">
              <w:rPr>
                <w:b/>
              </w:rPr>
              <w:t>30,50%</w:t>
            </w:r>
          </w:p>
        </w:tc>
        <w:tc>
          <w:tcPr>
            <w:tcW w:w="1559" w:type="dxa"/>
            <w:shd w:val="clear" w:color="auto" w:fill="auto"/>
          </w:tcPr>
          <w:p w:rsidR="00841734" w:rsidRPr="005C5695" w:rsidRDefault="00841734" w:rsidP="005D1564">
            <w:pPr>
              <w:spacing w:line="260" w:lineRule="exact"/>
              <w:ind w:right="176"/>
              <w:rPr>
                <w:b/>
              </w:rPr>
            </w:pPr>
          </w:p>
          <w:p w:rsidR="00755E8E" w:rsidRPr="005C5695" w:rsidRDefault="00755E8E" w:rsidP="005D1564">
            <w:pPr>
              <w:spacing w:line="260" w:lineRule="exact"/>
              <w:ind w:right="176"/>
              <w:rPr>
                <w:b/>
              </w:rPr>
            </w:pPr>
          </w:p>
          <w:p w:rsidR="00755E8E" w:rsidRPr="005C5695" w:rsidRDefault="00755E8E" w:rsidP="005D1564">
            <w:pPr>
              <w:spacing w:line="260" w:lineRule="exact"/>
              <w:ind w:right="176"/>
              <w:rPr>
                <w:b/>
              </w:rPr>
            </w:pPr>
            <w:r w:rsidRPr="005C5695">
              <w:rPr>
                <w:b/>
              </w:rPr>
              <w:t>32,2%</w:t>
            </w:r>
          </w:p>
        </w:tc>
      </w:tr>
      <w:tr w:rsidR="00841734" w:rsidRPr="00F47A7A" w:rsidTr="005C5695">
        <w:trPr>
          <w:trHeight w:val="1290"/>
          <w:jc w:val="center"/>
        </w:trPr>
        <w:tc>
          <w:tcPr>
            <w:tcW w:w="534" w:type="dxa"/>
            <w:vMerge/>
          </w:tcPr>
          <w:p w:rsidR="00841734" w:rsidRPr="00937C1E" w:rsidRDefault="00841734" w:rsidP="005D1564">
            <w:pPr>
              <w:spacing w:line="260" w:lineRule="exact"/>
              <w:ind w:left="142" w:right="120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4564" w:type="dxa"/>
            <w:vMerge/>
          </w:tcPr>
          <w:p w:rsidR="00841734" w:rsidRPr="00937C1E" w:rsidRDefault="00841734" w:rsidP="005D1564">
            <w:pPr>
              <w:spacing w:line="260" w:lineRule="exact"/>
              <w:ind w:left="142" w:right="120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5812" w:type="dxa"/>
            <w:vMerge w:val="restart"/>
            <w:shd w:val="clear" w:color="auto" w:fill="auto"/>
          </w:tcPr>
          <w:p w:rsidR="00841734" w:rsidRPr="005C5695" w:rsidRDefault="00841734" w:rsidP="005D1564">
            <w:pPr>
              <w:jc w:val="both"/>
              <w:rPr>
                <w:i/>
              </w:rPr>
            </w:pPr>
            <w:r w:rsidRPr="005C5695">
              <w:t>Удельный вес проб  не соответствующих  нормативам   по содержанию фторидов в питьевой воде</w:t>
            </w:r>
            <w:r w:rsidRPr="005C5695">
              <w:br/>
            </w:r>
            <w:r w:rsidRPr="005C5695">
              <w:rPr>
                <w:i/>
              </w:rPr>
              <w:t>-коммунальные водопроводы</w:t>
            </w:r>
          </w:p>
          <w:p w:rsidR="00841734" w:rsidRPr="005C5695" w:rsidRDefault="00841734" w:rsidP="005D1564">
            <w:pPr>
              <w:spacing w:line="260" w:lineRule="exact"/>
              <w:ind w:left="34" w:right="176"/>
              <w:rPr>
                <w:i/>
              </w:rPr>
            </w:pPr>
            <w:r w:rsidRPr="005C5695">
              <w:rPr>
                <w:i/>
              </w:rPr>
              <w:br/>
            </w:r>
          </w:p>
          <w:p w:rsidR="00841734" w:rsidRPr="005C5695" w:rsidRDefault="00841734" w:rsidP="005D1564">
            <w:pPr>
              <w:spacing w:line="260" w:lineRule="exact"/>
              <w:ind w:left="34" w:right="176"/>
              <w:rPr>
                <w:i/>
              </w:rPr>
            </w:pPr>
            <w:r w:rsidRPr="005C5695">
              <w:rPr>
                <w:i/>
              </w:rPr>
              <w:t>-ведомственные водопроводы</w:t>
            </w:r>
          </w:p>
          <w:p w:rsidR="00841734" w:rsidRPr="005C5695" w:rsidRDefault="00841734" w:rsidP="005D1564">
            <w:pPr>
              <w:spacing w:line="260" w:lineRule="exact"/>
              <w:ind w:left="34" w:right="176"/>
              <w:rPr>
                <w:i/>
              </w:rPr>
            </w:pPr>
            <w:r w:rsidRPr="005C5695">
              <w:rPr>
                <w:b/>
              </w:rPr>
              <w:t>-</w:t>
            </w:r>
            <w:r w:rsidRPr="005C5695">
              <w:rPr>
                <w:i/>
              </w:rPr>
              <w:br/>
            </w:r>
          </w:p>
          <w:p w:rsidR="00841734" w:rsidRPr="005C5695" w:rsidRDefault="00841734" w:rsidP="005D1564">
            <w:pPr>
              <w:spacing w:line="260" w:lineRule="exact"/>
              <w:ind w:right="176"/>
              <w:rPr>
                <w:i/>
              </w:rPr>
            </w:pPr>
          </w:p>
          <w:p w:rsidR="00841734" w:rsidRPr="005C5695" w:rsidRDefault="00841734" w:rsidP="005D1564">
            <w:pPr>
              <w:spacing w:line="260" w:lineRule="exact"/>
              <w:ind w:left="34" w:right="176"/>
              <w:rPr>
                <w:i/>
              </w:rPr>
            </w:pPr>
          </w:p>
          <w:p w:rsidR="00841734" w:rsidRPr="005C5695" w:rsidRDefault="00841734" w:rsidP="005D1564">
            <w:pPr>
              <w:spacing w:line="260" w:lineRule="exact"/>
              <w:ind w:left="34" w:right="176"/>
              <w:rPr>
                <w:i/>
              </w:rPr>
            </w:pPr>
            <w:r w:rsidRPr="005C5695">
              <w:rPr>
                <w:i/>
              </w:rPr>
              <w:t>-децентрализованные источники водоснабжения</w:t>
            </w:r>
          </w:p>
          <w:p w:rsidR="00841734" w:rsidRPr="005C5695" w:rsidRDefault="00841734" w:rsidP="005D1564">
            <w:pPr>
              <w:spacing w:line="260" w:lineRule="exact"/>
              <w:ind w:left="34" w:right="176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41734" w:rsidRPr="005C5695" w:rsidRDefault="00841734" w:rsidP="005D1564">
            <w:pPr>
              <w:spacing w:line="260" w:lineRule="exact"/>
              <w:ind w:left="34" w:right="176"/>
              <w:rPr>
                <w:b/>
              </w:rPr>
            </w:pPr>
          </w:p>
          <w:p w:rsidR="00841734" w:rsidRPr="005C5695" w:rsidRDefault="00841734" w:rsidP="005D1564">
            <w:pPr>
              <w:spacing w:line="260" w:lineRule="exact"/>
              <w:ind w:left="34" w:right="176"/>
              <w:rPr>
                <w:b/>
              </w:rPr>
            </w:pPr>
          </w:p>
          <w:p w:rsidR="00841734" w:rsidRPr="005C5695" w:rsidRDefault="00841734" w:rsidP="005D1564">
            <w:pPr>
              <w:spacing w:line="260" w:lineRule="exact"/>
              <w:ind w:left="34" w:right="176"/>
              <w:rPr>
                <w:b/>
              </w:rPr>
            </w:pPr>
          </w:p>
          <w:p w:rsidR="00841734" w:rsidRPr="005C5695" w:rsidRDefault="00841734" w:rsidP="005D1564">
            <w:pPr>
              <w:spacing w:line="260" w:lineRule="exact"/>
              <w:ind w:right="176"/>
              <w:rPr>
                <w:b/>
              </w:rPr>
            </w:pPr>
          </w:p>
          <w:p w:rsidR="00841734" w:rsidRPr="005C5695" w:rsidRDefault="00841734" w:rsidP="005D1564">
            <w:pPr>
              <w:spacing w:line="260" w:lineRule="exact"/>
              <w:ind w:left="34" w:right="176"/>
              <w:rPr>
                <w:b/>
              </w:rPr>
            </w:pPr>
            <w:r w:rsidRPr="005C5695">
              <w:rPr>
                <w:b/>
              </w:rPr>
              <w:t>0,95</w:t>
            </w:r>
          </w:p>
        </w:tc>
        <w:tc>
          <w:tcPr>
            <w:tcW w:w="1559" w:type="dxa"/>
            <w:shd w:val="clear" w:color="auto" w:fill="auto"/>
          </w:tcPr>
          <w:p w:rsidR="00841734" w:rsidRPr="005C5695" w:rsidRDefault="00841734" w:rsidP="005D1564">
            <w:pPr>
              <w:spacing w:line="260" w:lineRule="exact"/>
              <w:ind w:left="34" w:right="176"/>
              <w:rPr>
                <w:b/>
              </w:rPr>
            </w:pPr>
          </w:p>
          <w:p w:rsidR="00755E8E" w:rsidRPr="005C5695" w:rsidRDefault="00755E8E" w:rsidP="005D1564">
            <w:pPr>
              <w:spacing w:line="260" w:lineRule="exact"/>
              <w:ind w:left="34" w:right="176"/>
              <w:rPr>
                <w:b/>
              </w:rPr>
            </w:pPr>
          </w:p>
          <w:p w:rsidR="00755E8E" w:rsidRPr="005C5695" w:rsidRDefault="00755E8E" w:rsidP="005D1564">
            <w:pPr>
              <w:spacing w:line="260" w:lineRule="exact"/>
              <w:ind w:left="34" w:right="176"/>
              <w:rPr>
                <w:b/>
              </w:rPr>
            </w:pPr>
          </w:p>
          <w:p w:rsidR="00755E8E" w:rsidRPr="005C5695" w:rsidRDefault="00755E8E" w:rsidP="005D1564">
            <w:pPr>
              <w:spacing w:line="260" w:lineRule="exact"/>
              <w:ind w:left="34" w:right="176"/>
              <w:rPr>
                <w:b/>
              </w:rPr>
            </w:pPr>
          </w:p>
          <w:p w:rsidR="00755E8E" w:rsidRPr="005C5695" w:rsidRDefault="00F228FC" w:rsidP="005D1564">
            <w:pPr>
              <w:spacing w:line="260" w:lineRule="exact"/>
              <w:ind w:left="34" w:right="176"/>
              <w:rPr>
                <w:b/>
              </w:rPr>
            </w:pPr>
            <w:r w:rsidRPr="005C5695">
              <w:rPr>
                <w:b/>
              </w:rPr>
              <w:t>0</w:t>
            </w:r>
          </w:p>
        </w:tc>
      </w:tr>
      <w:tr w:rsidR="00841734" w:rsidRPr="00F47A7A" w:rsidTr="005C5695">
        <w:trPr>
          <w:trHeight w:val="1274"/>
          <w:jc w:val="center"/>
        </w:trPr>
        <w:tc>
          <w:tcPr>
            <w:tcW w:w="534" w:type="dxa"/>
            <w:vMerge/>
          </w:tcPr>
          <w:p w:rsidR="00841734" w:rsidRPr="00937C1E" w:rsidRDefault="00841734" w:rsidP="005D1564">
            <w:pPr>
              <w:spacing w:line="260" w:lineRule="exact"/>
              <w:ind w:left="142" w:right="120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4564" w:type="dxa"/>
            <w:vMerge/>
          </w:tcPr>
          <w:p w:rsidR="00841734" w:rsidRPr="00937C1E" w:rsidRDefault="00841734" w:rsidP="005D1564">
            <w:pPr>
              <w:spacing w:line="260" w:lineRule="exact"/>
              <w:ind w:left="142" w:right="120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841734" w:rsidRPr="005C5695" w:rsidRDefault="00841734" w:rsidP="005D1564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841734" w:rsidRPr="005C5695" w:rsidRDefault="00841734" w:rsidP="005D1564">
            <w:pPr>
              <w:spacing w:line="260" w:lineRule="exact"/>
              <w:ind w:right="176"/>
              <w:rPr>
                <w:b/>
              </w:rPr>
            </w:pPr>
          </w:p>
          <w:p w:rsidR="00841734" w:rsidRPr="005C5695" w:rsidRDefault="00841734" w:rsidP="005D1564">
            <w:pPr>
              <w:spacing w:line="260" w:lineRule="exact"/>
              <w:ind w:left="34" w:right="176"/>
            </w:pPr>
            <w:r w:rsidRPr="005C5695">
              <w:rPr>
                <w:b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110893" w:rsidRPr="005C5695" w:rsidRDefault="00110893" w:rsidP="005D1564">
            <w:pPr>
              <w:spacing w:line="260" w:lineRule="exact"/>
              <w:ind w:left="34" w:right="176"/>
            </w:pPr>
          </w:p>
          <w:p w:rsidR="00841734" w:rsidRPr="005C5695" w:rsidRDefault="00F228FC" w:rsidP="005D1564">
            <w:pPr>
              <w:spacing w:line="260" w:lineRule="exact"/>
              <w:ind w:left="34" w:right="176"/>
            </w:pPr>
            <w:r w:rsidRPr="005C5695">
              <w:t>0</w:t>
            </w:r>
          </w:p>
        </w:tc>
      </w:tr>
      <w:tr w:rsidR="00841734" w:rsidRPr="00F47A7A" w:rsidTr="005C5695">
        <w:trPr>
          <w:trHeight w:val="1109"/>
          <w:jc w:val="center"/>
        </w:trPr>
        <w:tc>
          <w:tcPr>
            <w:tcW w:w="534" w:type="dxa"/>
            <w:vMerge/>
          </w:tcPr>
          <w:p w:rsidR="00841734" w:rsidRPr="00937C1E" w:rsidRDefault="00841734" w:rsidP="005D1564">
            <w:pPr>
              <w:spacing w:line="260" w:lineRule="exact"/>
              <w:ind w:left="142" w:right="120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4564" w:type="dxa"/>
            <w:vMerge/>
          </w:tcPr>
          <w:p w:rsidR="00841734" w:rsidRPr="00937C1E" w:rsidRDefault="00841734" w:rsidP="005D1564">
            <w:pPr>
              <w:spacing w:line="260" w:lineRule="exact"/>
              <w:ind w:left="142" w:right="120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841734" w:rsidRPr="005C5695" w:rsidRDefault="00841734" w:rsidP="005D1564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841734" w:rsidRPr="005C5695" w:rsidRDefault="00841734" w:rsidP="005D1564">
            <w:pPr>
              <w:spacing w:line="260" w:lineRule="exact"/>
              <w:ind w:right="176"/>
              <w:rPr>
                <w:b/>
              </w:rPr>
            </w:pPr>
          </w:p>
          <w:p w:rsidR="00841734" w:rsidRPr="005C5695" w:rsidRDefault="00841734" w:rsidP="005D1564">
            <w:pPr>
              <w:spacing w:line="260" w:lineRule="exact"/>
              <w:ind w:left="34" w:right="176"/>
              <w:rPr>
                <w:i/>
              </w:rPr>
            </w:pPr>
            <w:r w:rsidRPr="005C5695">
              <w:rPr>
                <w:b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F228FC" w:rsidRPr="005C5695" w:rsidRDefault="00F228FC" w:rsidP="005D1564">
            <w:pPr>
              <w:spacing w:line="260" w:lineRule="exact"/>
              <w:ind w:left="34" w:right="176"/>
              <w:rPr>
                <w:b/>
              </w:rPr>
            </w:pPr>
          </w:p>
          <w:p w:rsidR="00841734" w:rsidRPr="005C5695" w:rsidRDefault="00F228FC" w:rsidP="005D1564">
            <w:pPr>
              <w:spacing w:line="260" w:lineRule="exact"/>
              <w:ind w:left="34" w:right="176"/>
              <w:rPr>
                <w:b/>
              </w:rPr>
            </w:pPr>
            <w:r w:rsidRPr="005C5695">
              <w:rPr>
                <w:b/>
              </w:rPr>
              <w:t>0</w:t>
            </w:r>
          </w:p>
        </w:tc>
      </w:tr>
      <w:tr w:rsidR="00841734" w:rsidRPr="00F47A7A" w:rsidTr="005C5695">
        <w:trPr>
          <w:trHeight w:val="690"/>
          <w:jc w:val="center"/>
        </w:trPr>
        <w:tc>
          <w:tcPr>
            <w:tcW w:w="534" w:type="dxa"/>
            <w:vMerge/>
          </w:tcPr>
          <w:p w:rsidR="00841734" w:rsidRPr="00937C1E" w:rsidRDefault="00841734" w:rsidP="005D1564">
            <w:pPr>
              <w:spacing w:line="260" w:lineRule="exact"/>
              <w:ind w:left="142" w:right="120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4564" w:type="dxa"/>
            <w:vMerge/>
          </w:tcPr>
          <w:p w:rsidR="00841734" w:rsidRPr="00937C1E" w:rsidRDefault="00841734" w:rsidP="005D1564">
            <w:pPr>
              <w:spacing w:line="260" w:lineRule="exact"/>
              <w:ind w:left="142" w:right="120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5812" w:type="dxa"/>
            <w:vMerge w:val="restart"/>
            <w:shd w:val="clear" w:color="auto" w:fill="auto"/>
          </w:tcPr>
          <w:p w:rsidR="00841734" w:rsidRPr="005C5695" w:rsidRDefault="00841734" w:rsidP="005D1564">
            <w:pPr>
              <w:jc w:val="both"/>
              <w:rPr>
                <w:b/>
              </w:rPr>
            </w:pPr>
            <w:r w:rsidRPr="005C5695">
              <w:t>% жилой площади оборудованной водопроводом</w:t>
            </w:r>
            <w:r w:rsidRPr="005C5695">
              <w:br/>
            </w:r>
            <w:r w:rsidRPr="005C5695">
              <w:rPr>
                <w:i/>
              </w:rPr>
              <w:t xml:space="preserve">-город </w:t>
            </w:r>
            <w:r w:rsidRPr="005C5695">
              <w:rPr>
                <w:b/>
              </w:rPr>
              <w:t>80%</w:t>
            </w:r>
          </w:p>
          <w:p w:rsidR="005A69D3" w:rsidRPr="005C5695" w:rsidRDefault="005A69D3" w:rsidP="005D1564">
            <w:pPr>
              <w:jc w:val="both"/>
              <w:rPr>
                <w:i/>
              </w:rPr>
            </w:pPr>
          </w:p>
          <w:p w:rsidR="00841734" w:rsidRPr="005C5695" w:rsidRDefault="00841734" w:rsidP="005D1564">
            <w:pPr>
              <w:jc w:val="both"/>
            </w:pPr>
            <w:r w:rsidRPr="005C5695">
              <w:rPr>
                <w:i/>
              </w:rPr>
              <w:t xml:space="preserve">-село </w:t>
            </w:r>
            <w:r w:rsidRPr="005C5695">
              <w:rPr>
                <w:b/>
              </w:rPr>
              <w:t>70%</w:t>
            </w:r>
          </w:p>
        </w:tc>
        <w:tc>
          <w:tcPr>
            <w:tcW w:w="1701" w:type="dxa"/>
            <w:shd w:val="clear" w:color="auto" w:fill="auto"/>
          </w:tcPr>
          <w:p w:rsidR="00841734" w:rsidRPr="005C5695" w:rsidRDefault="00F228FC" w:rsidP="005D1564">
            <w:pPr>
              <w:spacing w:line="260" w:lineRule="exact"/>
              <w:rPr>
                <w:i/>
              </w:rPr>
            </w:pPr>
            <w:r w:rsidRPr="005C5695">
              <w:rPr>
                <w:i/>
              </w:rPr>
              <w:t>85,9</w:t>
            </w:r>
          </w:p>
        </w:tc>
        <w:tc>
          <w:tcPr>
            <w:tcW w:w="1559" w:type="dxa"/>
            <w:shd w:val="clear" w:color="auto" w:fill="auto"/>
          </w:tcPr>
          <w:p w:rsidR="00841734" w:rsidRPr="005C5695" w:rsidRDefault="00110893" w:rsidP="005D1564">
            <w:pPr>
              <w:spacing w:line="260" w:lineRule="exact"/>
              <w:rPr>
                <w:i/>
              </w:rPr>
            </w:pPr>
            <w:r w:rsidRPr="005C5695">
              <w:rPr>
                <w:i/>
              </w:rPr>
              <w:t>87,2</w:t>
            </w:r>
          </w:p>
        </w:tc>
      </w:tr>
      <w:tr w:rsidR="00841734" w:rsidRPr="00F47A7A" w:rsidTr="005C5695">
        <w:trPr>
          <w:trHeight w:val="386"/>
          <w:jc w:val="center"/>
        </w:trPr>
        <w:tc>
          <w:tcPr>
            <w:tcW w:w="534" w:type="dxa"/>
            <w:vMerge/>
          </w:tcPr>
          <w:p w:rsidR="00841734" w:rsidRPr="00937C1E" w:rsidRDefault="00841734" w:rsidP="005D1564">
            <w:pPr>
              <w:spacing w:line="260" w:lineRule="exact"/>
              <w:ind w:left="142" w:right="120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4564" w:type="dxa"/>
            <w:vMerge/>
          </w:tcPr>
          <w:p w:rsidR="00841734" w:rsidRPr="00937C1E" w:rsidRDefault="00841734" w:rsidP="005D1564">
            <w:pPr>
              <w:spacing w:line="260" w:lineRule="exact"/>
              <w:ind w:left="142" w:right="120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841734" w:rsidRPr="005C5695" w:rsidRDefault="00841734" w:rsidP="005D1564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841734" w:rsidRPr="005C5695" w:rsidRDefault="00F228FC" w:rsidP="005D1564">
            <w:pPr>
              <w:spacing w:line="260" w:lineRule="exact"/>
              <w:rPr>
                <w:i/>
              </w:rPr>
            </w:pPr>
            <w:r w:rsidRPr="005C5695">
              <w:rPr>
                <w:i/>
              </w:rPr>
              <w:t>68,5</w:t>
            </w:r>
          </w:p>
        </w:tc>
        <w:tc>
          <w:tcPr>
            <w:tcW w:w="1559" w:type="dxa"/>
            <w:shd w:val="clear" w:color="auto" w:fill="auto"/>
          </w:tcPr>
          <w:p w:rsidR="00841734" w:rsidRPr="005C5695" w:rsidRDefault="00110893" w:rsidP="005D1564">
            <w:pPr>
              <w:spacing w:line="260" w:lineRule="exact"/>
              <w:rPr>
                <w:i/>
              </w:rPr>
            </w:pPr>
            <w:r w:rsidRPr="005C5695">
              <w:rPr>
                <w:i/>
              </w:rPr>
              <w:t>72,3</w:t>
            </w:r>
          </w:p>
        </w:tc>
      </w:tr>
      <w:tr w:rsidR="00841734" w:rsidRPr="00F47A7A" w:rsidTr="005C5695">
        <w:trPr>
          <w:trHeight w:val="690"/>
          <w:jc w:val="center"/>
        </w:trPr>
        <w:tc>
          <w:tcPr>
            <w:tcW w:w="534" w:type="dxa"/>
            <w:vMerge/>
          </w:tcPr>
          <w:p w:rsidR="00841734" w:rsidRPr="00937C1E" w:rsidRDefault="00841734" w:rsidP="005D1564">
            <w:pPr>
              <w:spacing w:line="260" w:lineRule="exact"/>
              <w:ind w:left="142" w:right="120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4564" w:type="dxa"/>
            <w:vMerge/>
          </w:tcPr>
          <w:p w:rsidR="00841734" w:rsidRPr="00937C1E" w:rsidRDefault="00841734" w:rsidP="005D1564">
            <w:pPr>
              <w:spacing w:line="260" w:lineRule="exact"/>
              <w:ind w:left="142" w:right="120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5812" w:type="dxa"/>
            <w:vMerge w:val="restart"/>
            <w:shd w:val="clear" w:color="auto" w:fill="auto"/>
          </w:tcPr>
          <w:p w:rsidR="00841734" w:rsidRPr="005C5695" w:rsidRDefault="00841734" w:rsidP="005D1564">
            <w:pPr>
              <w:jc w:val="both"/>
              <w:rPr>
                <w:b/>
              </w:rPr>
            </w:pPr>
            <w:r w:rsidRPr="005C5695">
              <w:t>% жилой площади оборудованной канализацией</w:t>
            </w:r>
            <w:r w:rsidRPr="005C5695">
              <w:br/>
            </w:r>
            <w:r w:rsidRPr="005C5695">
              <w:rPr>
                <w:i/>
              </w:rPr>
              <w:t xml:space="preserve">-город </w:t>
            </w:r>
            <w:r w:rsidRPr="005C5695">
              <w:rPr>
                <w:b/>
              </w:rPr>
              <w:t>90%</w:t>
            </w:r>
          </w:p>
          <w:p w:rsidR="005A69D3" w:rsidRPr="005C5695" w:rsidRDefault="005A69D3" w:rsidP="005D1564">
            <w:pPr>
              <w:jc w:val="both"/>
              <w:rPr>
                <w:i/>
              </w:rPr>
            </w:pPr>
          </w:p>
          <w:p w:rsidR="00841734" w:rsidRPr="005C5695" w:rsidRDefault="00841734" w:rsidP="005D1564">
            <w:pPr>
              <w:jc w:val="both"/>
            </w:pPr>
            <w:r w:rsidRPr="005C5695">
              <w:rPr>
                <w:i/>
              </w:rPr>
              <w:t xml:space="preserve">-село </w:t>
            </w:r>
            <w:r w:rsidRPr="005C5695">
              <w:rPr>
                <w:b/>
              </w:rPr>
              <w:t>70%</w:t>
            </w:r>
          </w:p>
        </w:tc>
        <w:tc>
          <w:tcPr>
            <w:tcW w:w="1701" w:type="dxa"/>
            <w:shd w:val="clear" w:color="auto" w:fill="auto"/>
          </w:tcPr>
          <w:p w:rsidR="00841734" w:rsidRPr="005C5695" w:rsidRDefault="00F228FC" w:rsidP="005D1564">
            <w:pPr>
              <w:spacing w:line="260" w:lineRule="exact"/>
              <w:rPr>
                <w:b/>
              </w:rPr>
            </w:pPr>
            <w:r w:rsidRPr="005C5695">
              <w:rPr>
                <w:b/>
              </w:rPr>
              <w:t>85,2</w:t>
            </w:r>
          </w:p>
        </w:tc>
        <w:tc>
          <w:tcPr>
            <w:tcW w:w="1559" w:type="dxa"/>
            <w:shd w:val="clear" w:color="auto" w:fill="auto"/>
          </w:tcPr>
          <w:p w:rsidR="00841734" w:rsidRPr="005C5695" w:rsidRDefault="006949B7" w:rsidP="005D1564">
            <w:pPr>
              <w:spacing w:line="260" w:lineRule="exact"/>
              <w:rPr>
                <w:i/>
              </w:rPr>
            </w:pPr>
            <w:r w:rsidRPr="005C5695">
              <w:rPr>
                <w:i/>
              </w:rPr>
              <w:t>86,1</w:t>
            </w:r>
          </w:p>
        </w:tc>
      </w:tr>
      <w:tr w:rsidR="00841734" w:rsidRPr="00F47A7A" w:rsidTr="005C5695">
        <w:trPr>
          <w:trHeight w:val="470"/>
          <w:jc w:val="center"/>
        </w:trPr>
        <w:tc>
          <w:tcPr>
            <w:tcW w:w="534" w:type="dxa"/>
            <w:vMerge/>
          </w:tcPr>
          <w:p w:rsidR="00841734" w:rsidRPr="00937C1E" w:rsidRDefault="00841734" w:rsidP="005D1564">
            <w:pPr>
              <w:spacing w:line="260" w:lineRule="exact"/>
              <w:ind w:left="142" w:right="120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4564" w:type="dxa"/>
            <w:vMerge/>
          </w:tcPr>
          <w:p w:rsidR="00841734" w:rsidRPr="00937C1E" w:rsidRDefault="00841734" w:rsidP="005D1564">
            <w:pPr>
              <w:spacing w:line="260" w:lineRule="exact"/>
              <w:ind w:left="142" w:right="120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841734" w:rsidRPr="005C5695" w:rsidRDefault="00841734" w:rsidP="005D1564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841734" w:rsidRPr="005C5695" w:rsidRDefault="00F228FC" w:rsidP="005D1564">
            <w:pPr>
              <w:spacing w:line="260" w:lineRule="exact"/>
              <w:rPr>
                <w:i/>
              </w:rPr>
            </w:pPr>
            <w:r w:rsidRPr="005C5695">
              <w:rPr>
                <w:i/>
              </w:rPr>
              <w:t>65,8</w:t>
            </w:r>
          </w:p>
        </w:tc>
        <w:tc>
          <w:tcPr>
            <w:tcW w:w="1559" w:type="dxa"/>
            <w:shd w:val="clear" w:color="auto" w:fill="auto"/>
          </w:tcPr>
          <w:p w:rsidR="00841734" w:rsidRPr="005C5695" w:rsidRDefault="006949B7" w:rsidP="005D1564">
            <w:pPr>
              <w:spacing w:line="260" w:lineRule="exact"/>
              <w:rPr>
                <w:i/>
              </w:rPr>
            </w:pPr>
            <w:r w:rsidRPr="005C5695">
              <w:rPr>
                <w:i/>
              </w:rPr>
              <w:t>67,2</w:t>
            </w:r>
          </w:p>
        </w:tc>
      </w:tr>
      <w:tr w:rsidR="00841734" w:rsidRPr="00F47A7A" w:rsidTr="005C5695">
        <w:trPr>
          <w:trHeight w:val="1145"/>
          <w:jc w:val="center"/>
        </w:trPr>
        <w:tc>
          <w:tcPr>
            <w:tcW w:w="534" w:type="dxa"/>
            <w:vMerge/>
          </w:tcPr>
          <w:p w:rsidR="00841734" w:rsidRPr="00937C1E" w:rsidRDefault="00841734" w:rsidP="005D1564">
            <w:pPr>
              <w:spacing w:line="260" w:lineRule="exact"/>
              <w:ind w:left="142" w:right="120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4564" w:type="dxa"/>
            <w:vMerge/>
          </w:tcPr>
          <w:p w:rsidR="00841734" w:rsidRPr="00937C1E" w:rsidRDefault="00841734" w:rsidP="005D1564">
            <w:pPr>
              <w:spacing w:line="260" w:lineRule="exact"/>
              <w:ind w:left="142" w:right="120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5812" w:type="dxa"/>
            <w:shd w:val="clear" w:color="auto" w:fill="auto"/>
          </w:tcPr>
          <w:p w:rsidR="00841734" w:rsidRPr="005C5695" w:rsidRDefault="00841734" w:rsidP="005D1564">
            <w:pPr>
              <w:jc w:val="both"/>
            </w:pPr>
            <w:r w:rsidRPr="005C5695">
              <w:t>% общественных колодцев, отвечающих требованиям по микробиологическому показателю</w:t>
            </w:r>
          </w:p>
          <w:p w:rsidR="00841734" w:rsidRPr="005C5695" w:rsidRDefault="00841734" w:rsidP="005D1564">
            <w:pPr>
              <w:jc w:val="both"/>
            </w:pPr>
            <w:r w:rsidRPr="005C5695">
              <w:rPr>
                <w:b/>
              </w:rPr>
              <w:t>Не менее 79%</w:t>
            </w:r>
          </w:p>
        </w:tc>
        <w:tc>
          <w:tcPr>
            <w:tcW w:w="1701" w:type="dxa"/>
            <w:shd w:val="clear" w:color="auto" w:fill="auto"/>
          </w:tcPr>
          <w:p w:rsidR="00841734" w:rsidRPr="005C5695" w:rsidRDefault="00841734" w:rsidP="005D1564">
            <w:pPr>
              <w:spacing w:line="260" w:lineRule="exact"/>
              <w:ind w:left="34" w:right="176"/>
              <w:rPr>
                <w:b/>
              </w:rPr>
            </w:pPr>
          </w:p>
          <w:p w:rsidR="00841734" w:rsidRPr="005C5695" w:rsidRDefault="00841734" w:rsidP="005D1564">
            <w:pPr>
              <w:spacing w:line="260" w:lineRule="exact"/>
              <w:ind w:left="34" w:right="176"/>
              <w:rPr>
                <w:b/>
              </w:rPr>
            </w:pPr>
          </w:p>
          <w:p w:rsidR="00841734" w:rsidRPr="005C5695" w:rsidRDefault="00841734" w:rsidP="005D1564">
            <w:pPr>
              <w:spacing w:line="260" w:lineRule="exact"/>
              <w:ind w:right="176"/>
              <w:rPr>
                <w:b/>
              </w:rPr>
            </w:pPr>
          </w:p>
          <w:p w:rsidR="00841734" w:rsidRPr="005C5695" w:rsidRDefault="00841734" w:rsidP="005D1564">
            <w:pPr>
              <w:spacing w:line="260" w:lineRule="exact"/>
              <w:ind w:left="34" w:right="176"/>
              <w:rPr>
                <w:b/>
              </w:rPr>
            </w:pPr>
            <w:r w:rsidRPr="005C5695">
              <w:rPr>
                <w:b/>
              </w:rPr>
              <w:t>82%</w:t>
            </w:r>
          </w:p>
        </w:tc>
        <w:tc>
          <w:tcPr>
            <w:tcW w:w="1559" w:type="dxa"/>
            <w:shd w:val="clear" w:color="auto" w:fill="auto"/>
          </w:tcPr>
          <w:p w:rsidR="00841734" w:rsidRPr="005C5695" w:rsidRDefault="00841734" w:rsidP="005D1564">
            <w:pPr>
              <w:spacing w:line="260" w:lineRule="exact"/>
              <w:ind w:left="34" w:right="176"/>
              <w:rPr>
                <w:b/>
              </w:rPr>
            </w:pPr>
          </w:p>
          <w:p w:rsidR="00755E8E" w:rsidRPr="005C5695" w:rsidRDefault="00755E8E" w:rsidP="005D1564">
            <w:pPr>
              <w:spacing w:line="260" w:lineRule="exact"/>
              <w:ind w:left="34" w:right="176"/>
              <w:rPr>
                <w:b/>
              </w:rPr>
            </w:pPr>
          </w:p>
          <w:p w:rsidR="00BB43B4" w:rsidRPr="005C5695" w:rsidRDefault="00BB43B4" w:rsidP="005D1564">
            <w:pPr>
              <w:spacing w:line="260" w:lineRule="exact"/>
              <w:ind w:left="34" w:right="176"/>
              <w:rPr>
                <w:b/>
              </w:rPr>
            </w:pPr>
          </w:p>
          <w:p w:rsidR="00755E8E" w:rsidRPr="005C5695" w:rsidRDefault="00BB43B4" w:rsidP="005D1564">
            <w:pPr>
              <w:spacing w:line="260" w:lineRule="exact"/>
              <w:ind w:left="34" w:right="176"/>
              <w:rPr>
                <w:b/>
              </w:rPr>
            </w:pPr>
            <w:r w:rsidRPr="005C5695">
              <w:rPr>
                <w:b/>
              </w:rPr>
              <w:t>81%</w:t>
            </w:r>
          </w:p>
        </w:tc>
      </w:tr>
      <w:tr w:rsidR="00841734" w:rsidRPr="00F47A7A" w:rsidTr="005C5695">
        <w:trPr>
          <w:trHeight w:val="824"/>
          <w:jc w:val="center"/>
        </w:trPr>
        <w:tc>
          <w:tcPr>
            <w:tcW w:w="534" w:type="dxa"/>
            <w:vMerge/>
          </w:tcPr>
          <w:p w:rsidR="00841734" w:rsidRPr="00937C1E" w:rsidRDefault="00841734" w:rsidP="005D1564">
            <w:pPr>
              <w:spacing w:line="260" w:lineRule="exact"/>
              <w:ind w:left="142" w:right="120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4564" w:type="dxa"/>
            <w:vMerge/>
          </w:tcPr>
          <w:p w:rsidR="00841734" w:rsidRPr="00937C1E" w:rsidRDefault="00841734" w:rsidP="005D1564">
            <w:pPr>
              <w:spacing w:line="260" w:lineRule="exact"/>
              <w:ind w:left="142" w:right="120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5812" w:type="dxa"/>
            <w:shd w:val="clear" w:color="auto" w:fill="auto"/>
          </w:tcPr>
          <w:p w:rsidR="00841734" w:rsidRPr="005C5695" w:rsidRDefault="00841734" w:rsidP="005D1564">
            <w:pPr>
              <w:jc w:val="both"/>
            </w:pPr>
            <w:r w:rsidRPr="005C5695">
              <w:t>% общественных  колодцев, отвечающих нормативу по содержанию нитратов.</w:t>
            </w:r>
          </w:p>
          <w:p w:rsidR="00841734" w:rsidRPr="005C5695" w:rsidRDefault="00841734" w:rsidP="005D1564">
            <w:pPr>
              <w:jc w:val="both"/>
            </w:pPr>
            <w:r w:rsidRPr="005C5695">
              <w:rPr>
                <w:b/>
              </w:rPr>
              <w:t>Не менее 65%</w:t>
            </w:r>
          </w:p>
        </w:tc>
        <w:tc>
          <w:tcPr>
            <w:tcW w:w="1701" w:type="dxa"/>
            <w:shd w:val="clear" w:color="auto" w:fill="auto"/>
          </w:tcPr>
          <w:p w:rsidR="00841734" w:rsidRPr="005C5695" w:rsidRDefault="00841734" w:rsidP="005D1564">
            <w:pPr>
              <w:spacing w:line="260" w:lineRule="exact"/>
              <w:ind w:left="34" w:right="176"/>
              <w:rPr>
                <w:b/>
              </w:rPr>
            </w:pPr>
          </w:p>
          <w:p w:rsidR="00841734" w:rsidRPr="005C5695" w:rsidRDefault="00841734" w:rsidP="005D1564">
            <w:pPr>
              <w:spacing w:line="260" w:lineRule="exact"/>
              <w:ind w:right="176"/>
              <w:rPr>
                <w:b/>
              </w:rPr>
            </w:pPr>
          </w:p>
          <w:p w:rsidR="00841734" w:rsidRPr="005C5695" w:rsidRDefault="00841734" w:rsidP="005D1564">
            <w:pPr>
              <w:spacing w:line="260" w:lineRule="exact"/>
              <w:ind w:left="34" w:right="176"/>
              <w:rPr>
                <w:b/>
              </w:rPr>
            </w:pPr>
            <w:r w:rsidRPr="005C5695">
              <w:rPr>
                <w:b/>
              </w:rPr>
              <w:t>72,9%</w:t>
            </w:r>
          </w:p>
        </w:tc>
        <w:tc>
          <w:tcPr>
            <w:tcW w:w="1559" w:type="dxa"/>
            <w:shd w:val="clear" w:color="auto" w:fill="auto"/>
          </w:tcPr>
          <w:p w:rsidR="0094634C" w:rsidRPr="005C5695" w:rsidRDefault="0094634C" w:rsidP="005D1564">
            <w:pPr>
              <w:spacing w:line="260" w:lineRule="exact"/>
              <w:ind w:left="34" w:right="176"/>
              <w:rPr>
                <w:b/>
              </w:rPr>
            </w:pPr>
          </w:p>
          <w:p w:rsidR="0094634C" w:rsidRPr="005C5695" w:rsidRDefault="0094634C" w:rsidP="005D1564">
            <w:pPr>
              <w:spacing w:line="260" w:lineRule="exact"/>
              <w:ind w:left="34" w:right="176"/>
              <w:rPr>
                <w:b/>
              </w:rPr>
            </w:pPr>
          </w:p>
          <w:p w:rsidR="00841734" w:rsidRPr="005C5695" w:rsidRDefault="0094634C" w:rsidP="005D1564">
            <w:pPr>
              <w:spacing w:line="260" w:lineRule="exact"/>
              <w:ind w:left="34" w:right="176"/>
              <w:rPr>
                <w:b/>
              </w:rPr>
            </w:pPr>
            <w:r w:rsidRPr="005C5695">
              <w:rPr>
                <w:b/>
              </w:rPr>
              <w:t>72%</w:t>
            </w:r>
          </w:p>
        </w:tc>
      </w:tr>
      <w:tr w:rsidR="00841734" w:rsidRPr="00F47A7A" w:rsidTr="005C5695">
        <w:trPr>
          <w:trHeight w:val="1553"/>
          <w:jc w:val="center"/>
        </w:trPr>
        <w:tc>
          <w:tcPr>
            <w:tcW w:w="534" w:type="dxa"/>
          </w:tcPr>
          <w:p w:rsidR="00841734" w:rsidRPr="00F47A7A" w:rsidRDefault="00841734" w:rsidP="005D1564">
            <w:pPr>
              <w:spacing w:line="260" w:lineRule="exact"/>
              <w:ind w:left="142" w:right="120"/>
              <w:rPr>
                <w:b/>
                <w:sz w:val="26"/>
                <w:szCs w:val="26"/>
              </w:rPr>
            </w:pPr>
            <w:r w:rsidRPr="00F47A7A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4564" w:type="dxa"/>
          </w:tcPr>
          <w:p w:rsidR="00841734" w:rsidRPr="00F47A7A" w:rsidRDefault="00841734" w:rsidP="005D1564">
            <w:pPr>
              <w:spacing w:line="260" w:lineRule="exact"/>
              <w:ind w:left="142" w:right="120"/>
              <w:rPr>
                <w:b/>
                <w:sz w:val="26"/>
                <w:szCs w:val="26"/>
              </w:rPr>
            </w:pPr>
            <w:r w:rsidRPr="00F47A7A">
              <w:rPr>
                <w:sz w:val="26"/>
                <w:szCs w:val="26"/>
              </w:rPr>
              <w:t>7.1.2. «Доступ к чистым источникам энергии и технологиям в быту»</w:t>
            </w:r>
          </w:p>
        </w:tc>
        <w:tc>
          <w:tcPr>
            <w:tcW w:w="5812" w:type="dxa"/>
            <w:shd w:val="clear" w:color="auto" w:fill="auto"/>
          </w:tcPr>
          <w:p w:rsidR="00841734" w:rsidRPr="005C5695" w:rsidRDefault="00841734" w:rsidP="005D1564">
            <w:pPr>
              <w:jc w:val="both"/>
            </w:pPr>
            <w:r w:rsidRPr="005C5695">
              <w:t>Количество обоснованных обращений граждан на несоответствие нормам микроклимата (температура, влажность) в жилых помещениях в год на адм. территории</w:t>
            </w:r>
          </w:p>
          <w:p w:rsidR="00841734" w:rsidRPr="005C5695" w:rsidRDefault="00841734" w:rsidP="005D1564">
            <w:pPr>
              <w:jc w:val="both"/>
            </w:pPr>
            <w:r w:rsidRPr="005C5695">
              <w:rPr>
                <w:b/>
              </w:rPr>
              <w:t>Не более 1 случая</w:t>
            </w:r>
          </w:p>
        </w:tc>
        <w:tc>
          <w:tcPr>
            <w:tcW w:w="1701" w:type="dxa"/>
            <w:shd w:val="clear" w:color="auto" w:fill="auto"/>
          </w:tcPr>
          <w:p w:rsidR="00841734" w:rsidRPr="005C5695" w:rsidRDefault="00841734" w:rsidP="005D1564">
            <w:pPr>
              <w:spacing w:line="260" w:lineRule="exact"/>
              <w:ind w:left="34" w:right="176"/>
              <w:rPr>
                <w:b/>
              </w:rPr>
            </w:pPr>
          </w:p>
          <w:p w:rsidR="00841734" w:rsidRPr="005C5695" w:rsidRDefault="00841734" w:rsidP="005D1564">
            <w:pPr>
              <w:spacing w:line="260" w:lineRule="exact"/>
              <w:ind w:left="34" w:right="176"/>
              <w:rPr>
                <w:b/>
              </w:rPr>
            </w:pPr>
          </w:p>
          <w:p w:rsidR="00841734" w:rsidRPr="005C5695" w:rsidRDefault="00841734" w:rsidP="005D1564">
            <w:pPr>
              <w:spacing w:line="260" w:lineRule="exact"/>
              <w:ind w:left="34" w:right="176"/>
              <w:rPr>
                <w:b/>
              </w:rPr>
            </w:pPr>
          </w:p>
          <w:p w:rsidR="00841734" w:rsidRPr="005C5695" w:rsidRDefault="00841734" w:rsidP="005D1564">
            <w:pPr>
              <w:spacing w:line="260" w:lineRule="exact"/>
              <w:ind w:right="176"/>
              <w:rPr>
                <w:b/>
              </w:rPr>
            </w:pPr>
          </w:p>
          <w:p w:rsidR="00841734" w:rsidRPr="005C5695" w:rsidRDefault="00841734" w:rsidP="005D1564">
            <w:pPr>
              <w:spacing w:line="260" w:lineRule="exact"/>
              <w:ind w:right="176"/>
              <w:rPr>
                <w:b/>
              </w:rPr>
            </w:pPr>
            <w:r w:rsidRPr="005C5695">
              <w:rPr>
                <w:b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841734" w:rsidRPr="005C5695" w:rsidRDefault="00841734" w:rsidP="005D1564">
            <w:pPr>
              <w:spacing w:line="260" w:lineRule="exact"/>
              <w:ind w:left="34" w:right="176"/>
              <w:rPr>
                <w:b/>
              </w:rPr>
            </w:pPr>
          </w:p>
        </w:tc>
      </w:tr>
      <w:tr w:rsidR="00841734" w:rsidRPr="005C5695" w:rsidTr="005D1564">
        <w:trPr>
          <w:trHeight w:val="1121"/>
          <w:jc w:val="center"/>
        </w:trPr>
        <w:tc>
          <w:tcPr>
            <w:tcW w:w="534" w:type="dxa"/>
            <w:vMerge w:val="restart"/>
          </w:tcPr>
          <w:p w:rsidR="00841734" w:rsidRPr="005C5695" w:rsidRDefault="00841734" w:rsidP="005D1564">
            <w:pPr>
              <w:spacing w:line="260" w:lineRule="exact"/>
              <w:ind w:left="142" w:right="120"/>
              <w:rPr>
                <w:sz w:val="26"/>
                <w:szCs w:val="26"/>
              </w:rPr>
            </w:pPr>
            <w:r w:rsidRPr="005C5695">
              <w:rPr>
                <w:sz w:val="26"/>
                <w:szCs w:val="26"/>
              </w:rPr>
              <w:t>4</w:t>
            </w:r>
          </w:p>
        </w:tc>
        <w:tc>
          <w:tcPr>
            <w:tcW w:w="4564" w:type="dxa"/>
            <w:vMerge w:val="restart"/>
          </w:tcPr>
          <w:p w:rsidR="00841734" w:rsidRPr="005C5695" w:rsidRDefault="00841734" w:rsidP="005D1564">
            <w:pPr>
              <w:spacing w:line="260" w:lineRule="exact"/>
              <w:ind w:left="142" w:right="120"/>
              <w:rPr>
                <w:b/>
                <w:sz w:val="26"/>
                <w:szCs w:val="26"/>
              </w:rPr>
            </w:pPr>
            <w:r w:rsidRPr="005C5695">
              <w:rPr>
                <w:sz w:val="26"/>
                <w:szCs w:val="26"/>
              </w:rPr>
              <w:t>6.b.1. «Доля местных административных единиц, в которых действуют правила и процедуры участия граждан в управлении водными ресурсами и санитарией</w:t>
            </w:r>
          </w:p>
        </w:tc>
        <w:tc>
          <w:tcPr>
            <w:tcW w:w="5812" w:type="dxa"/>
          </w:tcPr>
          <w:p w:rsidR="00841734" w:rsidRPr="005C5695" w:rsidRDefault="00841734" w:rsidP="005D1564">
            <w:pPr>
              <w:jc w:val="both"/>
            </w:pPr>
            <w:r w:rsidRPr="005C5695">
              <w:t>% источников централизованного водоснабжения, не отвечавших требованиям санитарных норм</w:t>
            </w:r>
          </w:p>
          <w:p w:rsidR="00841734" w:rsidRPr="005C5695" w:rsidRDefault="00841734" w:rsidP="005D1564">
            <w:pPr>
              <w:jc w:val="both"/>
              <w:rPr>
                <w:b/>
              </w:rPr>
            </w:pPr>
            <w:r w:rsidRPr="005C5695">
              <w:rPr>
                <w:b/>
              </w:rPr>
              <w:t>Не более 25%</w:t>
            </w:r>
          </w:p>
        </w:tc>
        <w:tc>
          <w:tcPr>
            <w:tcW w:w="1701" w:type="dxa"/>
          </w:tcPr>
          <w:p w:rsidR="00841734" w:rsidRPr="005C5695" w:rsidRDefault="00841734" w:rsidP="005D1564">
            <w:pPr>
              <w:spacing w:line="260" w:lineRule="exact"/>
              <w:ind w:left="34" w:right="176"/>
              <w:rPr>
                <w:b/>
              </w:rPr>
            </w:pPr>
          </w:p>
          <w:p w:rsidR="00841734" w:rsidRPr="005C5695" w:rsidRDefault="00841734" w:rsidP="005D1564">
            <w:pPr>
              <w:spacing w:line="260" w:lineRule="exact"/>
              <w:ind w:left="34" w:right="176"/>
              <w:rPr>
                <w:b/>
              </w:rPr>
            </w:pPr>
          </w:p>
          <w:p w:rsidR="00841734" w:rsidRPr="005C5695" w:rsidRDefault="00841734" w:rsidP="005D1564">
            <w:pPr>
              <w:spacing w:line="260" w:lineRule="exact"/>
              <w:ind w:right="176"/>
              <w:rPr>
                <w:b/>
              </w:rPr>
            </w:pPr>
          </w:p>
          <w:p w:rsidR="00841734" w:rsidRPr="005C5695" w:rsidRDefault="00841734" w:rsidP="005D1564">
            <w:pPr>
              <w:spacing w:line="260" w:lineRule="exact"/>
              <w:ind w:left="34" w:right="176"/>
              <w:rPr>
                <w:b/>
              </w:rPr>
            </w:pPr>
            <w:r w:rsidRPr="005C5695">
              <w:rPr>
                <w:b/>
              </w:rPr>
              <w:t>13,54%</w:t>
            </w:r>
          </w:p>
        </w:tc>
        <w:tc>
          <w:tcPr>
            <w:tcW w:w="1559" w:type="dxa"/>
          </w:tcPr>
          <w:p w:rsidR="00841734" w:rsidRPr="005C5695" w:rsidRDefault="00841734" w:rsidP="005D1564">
            <w:pPr>
              <w:spacing w:line="260" w:lineRule="exact"/>
              <w:ind w:left="34" w:right="176"/>
              <w:rPr>
                <w:b/>
              </w:rPr>
            </w:pPr>
          </w:p>
          <w:p w:rsidR="009035CB" w:rsidRPr="005C5695" w:rsidRDefault="009035CB" w:rsidP="005D1564">
            <w:pPr>
              <w:spacing w:line="260" w:lineRule="exact"/>
              <w:ind w:left="34" w:right="176"/>
              <w:rPr>
                <w:b/>
              </w:rPr>
            </w:pPr>
          </w:p>
          <w:p w:rsidR="009035CB" w:rsidRPr="005C5695" w:rsidRDefault="009035CB" w:rsidP="005D1564">
            <w:pPr>
              <w:spacing w:line="260" w:lineRule="exact"/>
              <w:ind w:left="34" w:right="176"/>
              <w:rPr>
                <w:b/>
              </w:rPr>
            </w:pPr>
          </w:p>
          <w:p w:rsidR="009035CB" w:rsidRPr="005C5695" w:rsidRDefault="009035CB" w:rsidP="005D1564">
            <w:pPr>
              <w:spacing w:line="260" w:lineRule="exact"/>
              <w:ind w:left="34" w:right="176"/>
              <w:rPr>
                <w:b/>
              </w:rPr>
            </w:pPr>
            <w:r w:rsidRPr="005C5695">
              <w:rPr>
                <w:b/>
              </w:rPr>
              <w:t>15,6%</w:t>
            </w:r>
          </w:p>
        </w:tc>
      </w:tr>
      <w:tr w:rsidR="00841734" w:rsidRPr="005C5695" w:rsidTr="005D1564">
        <w:trPr>
          <w:trHeight w:val="951"/>
          <w:jc w:val="center"/>
        </w:trPr>
        <w:tc>
          <w:tcPr>
            <w:tcW w:w="534" w:type="dxa"/>
            <w:vMerge/>
          </w:tcPr>
          <w:p w:rsidR="00841734" w:rsidRPr="005C5695" w:rsidRDefault="00841734" w:rsidP="005D1564">
            <w:pPr>
              <w:spacing w:line="260" w:lineRule="exact"/>
              <w:ind w:left="142" w:right="120"/>
              <w:rPr>
                <w:b/>
                <w:sz w:val="26"/>
                <w:szCs w:val="26"/>
              </w:rPr>
            </w:pPr>
          </w:p>
        </w:tc>
        <w:tc>
          <w:tcPr>
            <w:tcW w:w="4564" w:type="dxa"/>
            <w:vMerge/>
          </w:tcPr>
          <w:p w:rsidR="00841734" w:rsidRPr="005C5695" w:rsidRDefault="00841734" w:rsidP="005D1564">
            <w:pPr>
              <w:spacing w:line="260" w:lineRule="exact"/>
              <w:ind w:left="142" w:right="120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841734" w:rsidRPr="005C5695" w:rsidRDefault="00841734" w:rsidP="005D1564">
            <w:pPr>
              <w:jc w:val="both"/>
            </w:pPr>
            <w:r w:rsidRPr="005C5695">
              <w:t xml:space="preserve">% источников, у которых отсутствуют зоны санитарной охраны </w:t>
            </w:r>
          </w:p>
          <w:p w:rsidR="00841734" w:rsidRPr="005C5695" w:rsidRDefault="00841734" w:rsidP="005D1564">
            <w:pPr>
              <w:jc w:val="both"/>
            </w:pPr>
            <w:r w:rsidRPr="005C5695">
              <w:rPr>
                <w:b/>
              </w:rPr>
              <w:t>Не более 4%</w:t>
            </w:r>
          </w:p>
        </w:tc>
        <w:tc>
          <w:tcPr>
            <w:tcW w:w="1701" w:type="dxa"/>
          </w:tcPr>
          <w:p w:rsidR="00841734" w:rsidRPr="005C5695" w:rsidRDefault="00841734" w:rsidP="005D1564">
            <w:pPr>
              <w:spacing w:line="260" w:lineRule="exact"/>
              <w:ind w:left="34" w:right="176"/>
              <w:rPr>
                <w:b/>
              </w:rPr>
            </w:pPr>
            <w:r w:rsidRPr="005C5695">
              <w:rPr>
                <w:b/>
              </w:rPr>
              <w:t>2,93%</w:t>
            </w:r>
          </w:p>
        </w:tc>
        <w:tc>
          <w:tcPr>
            <w:tcW w:w="1559" w:type="dxa"/>
          </w:tcPr>
          <w:p w:rsidR="00841734" w:rsidRPr="005C5695" w:rsidRDefault="009035CB" w:rsidP="005D1564">
            <w:pPr>
              <w:spacing w:line="260" w:lineRule="exact"/>
              <w:ind w:left="34" w:right="176"/>
              <w:rPr>
                <w:b/>
              </w:rPr>
            </w:pPr>
            <w:r w:rsidRPr="005C5695">
              <w:rPr>
                <w:b/>
              </w:rPr>
              <w:t>1,7%</w:t>
            </w:r>
          </w:p>
        </w:tc>
      </w:tr>
      <w:tr w:rsidR="00841734" w:rsidRPr="005C5695" w:rsidTr="005D1564">
        <w:trPr>
          <w:trHeight w:val="1380"/>
          <w:jc w:val="center"/>
        </w:trPr>
        <w:tc>
          <w:tcPr>
            <w:tcW w:w="534" w:type="dxa"/>
            <w:vMerge/>
          </w:tcPr>
          <w:p w:rsidR="00841734" w:rsidRPr="005C5695" w:rsidRDefault="00841734" w:rsidP="005D1564">
            <w:pPr>
              <w:spacing w:line="260" w:lineRule="exact"/>
              <w:ind w:left="142" w:right="120"/>
              <w:rPr>
                <w:b/>
                <w:sz w:val="26"/>
                <w:szCs w:val="26"/>
              </w:rPr>
            </w:pPr>
          </w:p>
        </w:tc>
        <w:tc>
          <w:tcPr>
            <w:tcW w:w="4564" w:type="dxa"/>
            <w:vMerge/>
          </w:tcPr>
          <w:p w:rsidR="00841734" w:rsidRPr="005C5695" w:rsidRDefault="00841734" w:rsidP="005D1564">
            <w:pPr>
              <w:spacing w:line="260" w:lineRule="exact"/>
              <w:ind w:left="142" w:right="120"/>
              <w:rPr>
                <w:sz w:val="26"/>
                <w:szCs w:val="26"/>
              </w:rPr>
            </w:pPr>
          </w:p>
        </w:tc>
        <w:tc>
          <w:tcPr>
            <w:tcW w:w="5812" w:type="dxa"/>
            <w:vMerge w:val="restart"/>
          </w:tcPr>
          <w:p w:rsidR="00841734" w:rsidRPr="005C5695" w:rsidRDefault="00841734" w:rsidP="005D1564">
            <w:pPr>
              <w:jc w:val="both"/>
              <w:rPr>
                <w:i/>
              </w:rPr>
            </w:pPr>
            <w:r w:rsidRPr="005C5695">
              <w:t xml:space="preserve"> % проб воды, несоответствующих  гигиеническим требованиям по микробиологическим показателям:</w:t>
            </w:r>
            <w:r w:rsidRPr="005C5695">
              <w:br/>
            </w:r>
            <w:r w:rsidRPr="005C5695">
              <w:rPr>
                <w:i/>
              </w:rPr>
              <w:t xml:space="preserve"> - коммунальных водопроводов;</w:t>
            </w:r>
          </w:p>
          <w:p w:rsidR="00841734" w:rsidRPr="005C5695" w:rsidRDefault="00841734" w:rsidP="005D1564">
            <w:pPr>
              <w:spacing w:line="260" w:lineRule="exact"/>
              <w:ind w:right="176"/>
              <w:rPr>
                <w:i/>
              </w:rPr>
            </w:pPr>
            <w:r w:rsidRPr="005C5695">
              <w:rPr>
                <w:b/>
              </w:rPr>
              <w:t>не более 0,72%</w:t>
            </w:r>
            <w:r w:rsidRPr="005C5695">
              <w:rPr>
                <w:i/>
              </w:rPr>
              <w:br/>
            </w:r>
          </w:p>
          <w:p w:rsidR="00841734" w:rsidRPr="005C5695" w:rsidRDefault="00841734" w:rsidP="005D1564">
            <w:pPr>
              <w:spacing w:line="260" w:lineRule="exact"/>
              <w:ind w:right="176"/>
              <w:rPr>
                <w:i/>
              </w:rPr>
            </w:pPr>
          </w:p>
          <w:p w:rsidR="00841734" w:rsidRPr="005C5695" w:rsidRDefault="00841734" w:rsidP="005D1564">
            <w:pPr>
              <w:spacing w:line="260" w:lineRule="exact"/>
              <w:ind w:right="176"/>
              <w:rPr>
                <w:i/>
              </w:rPr>
            </w:pPr>
          </w:p>
          <w:p w:rsidR="00841734" w:rsidRPr="005C5695" w:rsidRDefault="00841734" w:rsidP="005D1564">
            <w:pPr>
              <w:spacing w:line="260" w:lineRule="exact"/>
              <w:ind w:right="176"/>
              <w:rPr>
                <w:i/>
              </w:rPr>
            </w:pPr>
            <w:r w:rsidRPr="005C5695">
              <w:rPr>
                <w:i/>
              </w:rPr>
              <w:t xml:space="preserve"> - ведомственных водопроводов</w:t>
            </w:r>
          </w:p>
          <w:p w:rsidR="00841734" w:rsidRPr="005C5695" w:rsidRDefault="00841734" w:rsidP="005D1564">
            <w:pPr>
              <w:spacing w:line="260" w:lineRule="exact"/>
              <w:ind w:right="176"/>
              <w:rPr>
                <w:i/>
              </w:rPr>
            </w:pPr>
            <w:r w:rsidRPr="005C5695">
              <w:rPr>
                <w:b/>
              </w:rPr>
              <w:t>1,03%</w:t>
            </w:r>
          </w:p>
        </w:tc>
        <w:tc>
          <w:tcPr>
            <w:tcW w:w="1701" w:type="dxa"/>
          </w:tcPr>
          <w:p w:rsidR="00841734" w:rsidRPr="005C5695" w:rsidRDefault="00E47110" w:rsidP="005D1564">
            <w:pPr>
              <w:spacing w:line="260" w:lineRule="exact"/>
              <w:ind w:right="176"/>
              <w:rPr>
                <w:b/>
              </w:rPr>
            </w:pPr>
            <w:r w:rsidRPr="005C5695">
              <w:rPr>
                <w:b/>
              </w:rPr>
              <w:t>1,2</w:t>
            </w:r>
            <w:r w:rsidR="00841734" w:rsidRPr="005C5695">
              <w:rPr>
                <w:b/>
              </w:rPr>
              <w:t>%</w:t>
            </w:r>
          </w:p>
        </w:tc>
        <w:tc>
          <w:tcPr>
            <w:tcW w:w="1559" w:type="dxa"/>
          </w:tcPr>
          <w:p w:rsidR="00841734" w:rsidRPr="005C5695" w:rsidRDefault="00E47110" w:rsidP="005D1564">
            <w:pPr>
              <w:spacing w:line="260" w:lineRule="exact"/>
              <w:ind w:right="176"/>
              <w:rPr>
                <w:b/>
              </w:rPr>
            </w:pPr>
            <w:r w:rsidRPr="005C5695">
              <w:rPr>
                <w:b/>
              </w:rPr>
              <w:t>0,6%</w:t>
            </w:r>
          </w:p>
        </w:tc>
      </w:tr>
      <w:tr w:rsidR="00841734" w:rsidRPr="005C5695" w:rsidTr="005D1564">
        <w:trPr>
          <w:trHeight w:val="1380"/>
          <w:jc w:val="center"/>
        </w:trPr>
        <w:tc>
          <w:tcPr>
            <w:tcW w:w="534" w:type="dxa"/>
            <w:vMerge/>
          </w:tcPr>
          <w:p w:rsidR="00841734" w:rsidRPr="005C5695" w:rsidRDefault="00841734" w:rsidP="005D1564">
            <w:pPr>
              <w:spacing w:line="260" w:lineRule="exact"/>
              <w:ind w:left="142" w:right="120"/>
              <w:rPr>
                <w:b/>
                <w:sz w:val="26"/>
                <w:szCs w:val="26"/>
              </w:rPr>
            </w:pPr>
          </w:p>
        </w:tc>
        <w:tc>
          <w:tcPr>
            <w:tcW w:w="4564" w:type="dxa"/>
            <w:vMerge/>
          </w:tcPr>
          <w:p w:rsidR="00841734" w:rsidRPr="005C5695" w:rsidRDefault="00841734" w:rsidP="005D1564">
            <w:pPr>
              <w:spacing w:line="260" w:lineRule="exact"/>
              <w:ind w:left="142" w:right="120"/>
              <w:rPr>
                <w:sz w:val="26"/>
                <w:szCs w:val="26"/>
              </w:rPr>
            </w:pPr>
          </w:p>
        </w:tc>
        <w:tc>
          <w:tcPr>
            <w:tcW w:w="5812" w:type="dxa"/>
            <w:vMerge/>
          </w:tcPr>
          <w:p w:rsidR="00841734" w:rsidRPr="005C5695" w:rsidRDefault="00841734" w:rsidP="005D1564">
            <w:pPr>
              <w:jc w:val="both"/>
            </w:pPr>
          </w:p>
        </w:tc>
        <w:tc>
          <w:tcPr>
            <w:tcW w:w="1701" w:type="dxa"/>
          </w:tcPr>
          <w:p w:rsidR="00841734" w:rsidRPr="005C5695" w:rsidRDefault="00841734" w:rsidP="005D1564">
            <w:pPr>
              <w:spacing w:line="260" w:lineRule="exact"/>
              <w:ind w:right="176"/>
              <w:rPr>
                <w:b/>
              </w:rPr>
            </w:pPr>
          </w:p>
          <w:p w:rsidR="00841734" w:rsidRPr="005C5695" w:rsidRDefault="00841734" w:rsidP="005D1564">
            <w:pPr>
              <w:spacing w:line="260" w:lineRule="exact"/>
              <w:ind w:right="176"/>
              <w:rPr>
                <w:b/>
              </w:rPr>
            </w:pPr>
          </w:p>
          <w:p w:rsidR="00841734" w:rsidRPr="005C5695" w:rsidRDefault="00841734" w:rsidP="005D1564">
            <w:pPr>
              <w:spacing w:line="260" w:lineRule="exact"/>
              <w:ind w:right="176"/>
              <w:rPr>
                <w:b/>
              </w:rPr>
            </w:pPr>
          </w:p>
          <w:p w:rsidR="00841734" w:rsidRPr="005C5695" w:rsidRDefault="00841734" w:rsidP="005D1564">
            <w:pPr>
              <w:spacing w:line="260" w:lineRule="exact"/>
              <w:ind w:right="176"/>
              <w:rPr>
                <w:b/>
              </w:rPr>
            </w:pPr>
            <w:r w:rsidRPr="005C5695">
              <w:rPr>
                <w:b/>
              </w:rPr>
              <w:t>1,</w:t>
            </w:r>
            <w:r w:rsidR="00E47110" w:rsidRPr="005C5695">
              <w:rPr>
                <w:b/>
              </w:rPr>
              <w:t>6</w:t>
            </w:r>
            <w:r w:rsidRPr="005C5695">
              <w:rPr>
                <w:b/>
              </w:rPr>
              <w:t>%</w:t>
            </w:r>
          </w:p>
        </w:tc>
        <w:tc>
          <w:tcPr>
            <w:tcW w:w="1559" w:type="dxa"/>
          </w:tcPr>
          <w:p w:rsidR="00841734" w:rsidRPr="005C5695" w:rsidRDefault="00841734" w:rsidP="005D1564">
            <w:pPr>
              <w:spacing w:line="260" w:lineRule="exact"/>
              <w:ind w:right="176"/>
              <w:rPr>
                <w:b/>
              </w:rPr>
            </w:pPr>
          </w:p>
          <w:p w:rsidR="00E47110" w:rsidRPr="005C5695" w:rsidRDefault="00E47110" w:rsidP="005D1564">
            <w:pPr>
              <w:spacing w:line="260" w:lineRule="exact"/>
              <w:ind w:right="176"/>
              <w:rPr>
                <w:b/>
              </w:rPr>
            </w:pPr>
          </w:p>
          <w:p w:rsidR="00E47110" w:rsidRPr="005C5695" w:rsidRDefault="00E47110" w:rsidP="005D1564">
            <w:pPr>
              <w:spacing w:line="260" w:lineRule="exact"/>
              <w:ind w:right="176"/>
              <w:rPr>
                <w:b/>
              </w:rPr>
            </w:pPr>
          </w:p>
          <w:p w:rsidR="00E47110" w:rsidRPr="005C5695" w:rsidRDefault="00E47110" w:rsidP="005D1564">
            <w:pPr>
              <w:spacing w:line="260" w:lineRule="exact"/>
              <w:ind w:right="176"/>
              <w:rPr>
                <w:b/>
              </w:rPr>
            </w:pPr>
            <w:r w:rsidRPr="005C5695">
              <w:rPr>
                <w:b/>
              </w:rPr>
              <w:t>1,3%</w:t>
            </w:r>
          </w:p>
          <w:p w:rsidR="00E47110" w:rsidRPr="005C5695" w:rsidRDefault="00E47110" w:rsidP="005D1564">
            <w:pPr>
              <w:spacing w:line="260" w:lineRule="exact"/>
              <w:ind w:right="176"/>
              <w:rPr>
                <w:b/>
              </w:rPr>
            </w:pPr>
          </w:p>
        </w:tc>
      </w:tr>
      <w:tr w:rsidR="00841734" w:rsidRPr="005C5695" w:rsidTr="005D1564">
        <w:trPr>
          <w:trHeight w:val="1127"/>
          <w:jc w:val="center"/>
        </w:trPr>
        <w:tc>
          <w:tcPr>
            <w:tcW w:w="534" w:type="dxa"/>
            <w:vMerge/>
          </w:tcPr>
          <w:p w:rsidR="00841734" w:rsidRPr="005C5695" w:rsidRDefault="00841734" w:rsidP="005D1564">
            <w:pPr>
              <w:spacing w:line="260" w:lineRule="exact"/>
              <w:ind w:left="142" w:right="120"/>
              <w:rPr>
                <w:b/>
                <w:sz w:val="26"/>
                <w:szCs w:val="26"/>
              </w:rPr>
            </w:pPr>
          </w:p>
        </w:tc>
        <w:tc>
          <w:tcPr>
            <w:tcW w:w="4564" w:type="dxa"/>
            <w:vMerge/>
          </w:tcPr>
          <w:p w:rsidR="00841734" w:rsidRPr="005C5695" w:rsidRDefault="00841734" w:rsidP="005D1564">
            <w:pPr>
              <w:spacing w:line="260" w:lineRule="exact"/>
              <w:ind w:left="142" w:right="120"/>
              <w:rPr>
                <w:sz w:val="26"/>
                <w:szCs w:val="26"/>
              </w:rPr>
            </w:pPr>
          </w:p>
        </w:tc>
        <w:tc>
          <w:tcPr>
            <w:tcW w:w="5812" w:type="dxa"/>
            <w:vMerge w:val="restart"/>
          </w:tcPr>
          <w:p w:rsidR="00841734" w:rsidRPr="005C5695" w:rsidRDefault="00841734" w:rsidP="005D1564">
            <w:pPr>
              <w:jc w:val="both"/>
              <w:rPr>
                <w:i/>
              </w:rPr>
            </w:pPr>
            <w:r w:rsidRPr="005C5695">
              <w:t xml:space="preserve">% проб воды, несоотв. гигиеническим требованиям по санитарно-химическим показателям: </w:t>
            </w:r>
            <w:r w:rsidRPr="005C5695">
              <w:br/>
            </w:r>
            <w:r w:rsidRPr="005C5695">
              <w:rPr>
                <w:i/>
              </w:rPr>
              <w:t>-коммунальных водопроводов;</w:t>
            </w:r>
          </w:p>
          <w:p w:rsidR="00841734" w:rsidRPr="005C5695" w:rsidRDefault="00841734" w:rsidP="005D1564">
            <w:pPr>
              <w:jc w:val="both"/>
              <w:rPr>
                <w:b/>
              </w:rPr>
            </w:pPr>
            <w:r w:rsidRPr="005C5695">
              <w:rPr>
                <w:b/>
              </w:rPr>
              <w:t>не более 15,14%</w:t>
            </w:r>
          </w:p>
          <w:p w:rsidR="005A69D3" w:rsidRPr="005C5695" w:rsidRDefault="005A69D3" w:rsidP="005D1564">
            <w:pPr>
              <w:jc w:val="both"/>
            </w:pPr>
          </w:p>
          <w:p w:rsidR="00841734" w:rsidRPr="005C5695" w:rsidRDefault="00841734" w:rsidP="005D1564">
            <w:pPr>
              <w:jc w:val="both"/>
            </w:pPr>
            <w:r w:rsidRPr="005C5695">
              <w:t xml:space="preserve"> -ведомственных водопроводов</w:t>
            </w:r>
          </w:p>
          <w:p w:rsidR="00841734" w:rsidRPr="005C5695" w:rsidRDefault="00841734" w:rsidP="005D1564">
            <w:pPr>
              <w:jc w:val="both"/>
            </w:pPr>
            <w:r w:rsidRPr="005C5695">
              <w:rPr>
                <w:b/>
              </w:rPr>
              <w:t>не более 20%</w:t>
            </w:r>
          </w:p>
        </w:tc>
        <w:tc>
          <w:tcPr>
            <w:tcW w:w="1701" w:type="dxa"/>
          </w:tcPr>
          <w:p w:rsidR="00841734" w:rsidRPr="005C5695" w:rsidRDefault="00841734" w:rsidP="005D1564">
            <w:pPr>
              <w:spacing w:line="260" w:lineRule="exact"/>
              <w:ind w:right="176"/>
              <w:rPr>
                <w:b/>
              </w:rPr>
            </w:pPr>
          </w:p>
          <w:p w:rsidR="00841734" w:rsidRPr="005C5695" w:rsidRDefault="00841734" w:rsidP="005D1564">
            <w:pPr>
              <w:spacing w:line="260" w:lineRule="exact"/>
              <w:ind w:right="176"/>
              <w:rPr>
                <w:b/>
              </w:rPr>
            </w:pPr>
          </w:p>
          <w:p w:rsidR="00841734" w:rsidRPr="005C5695" w:rsidRDefault="00841734" w:rsidP="005D1564">
            <w:pPr>
              <w:spacing w:line="260" w:lineRule="exact"/>
              <w:ind w:right="176"/>
              <w:rPr>
                <w:b/>
              </w:rPr>
            </w:pPr>
          </w:p>
          <w:p w:rsidR="00841734" w:rsidRPr="005C5695" w:rsidRDefault="00E47110" w:rsidP="005D1564">
            <w:pPr>
              <w:spacing w:line="260" w:lineRule="exact"/>
              <w:ind w:right="176"/>
              <w:rPr>
                <w:b/>
              </w:rPr>
            </w:pPr>
            <w:r w:rsidRPr="005C5695">
              <w:rPr>
                <w:b/>
              </w:rPr>
              <w:t>21,6</w:t>
            </w:r>
            <w:r w:rsidR="00841734" w:rsidRPr="005C5695">
              <w:rPr>
                <w:b/>
              </w:rPr>
              <w:t>%</w:t>
            </w:r>
          </w:p>
        </w:tc>
        <w:tc>
          <w:tcPr>
            <w:tcW w:w="1559" w:type="dxa"/>
          </w:tcPr>
          <w:p w:rsidR="00841734" w:rsidRPr="005C5695" w:rsidRDefault="00841734" w:rsidP="005D1564">
            <w:pPr>
              <w:spacing w:line="260" w:lineRule="exact"/>
              <w:ind w:right="176"/>
              <w:rPr>
                <w:b/>
              </w:rPr>
            </w:pPr>
          </w:p>
          <w:p w:rsidR="00E47110" w:rsidRPr="005C5695" w:rsidRDefault="00E47110" w:rsidP="005D1564">
            <w:pPr>
              <w:spacing w:line="260" w:lineRule="exact"/>
              <w:ind w:right="176"/>
              <w:rPr>
                <w:b/>
              </w:rPr>
            </w:pPr>
          </w:p>
          <w:p w:rsidR="00E47110" w:rsidRPr="005C5695" w:rsidRDefault="00E47110" w:rsidP="005D1564">
            <w:pPr>
              <w:spacing w:line="260" w:lineRule="exact"/>
              <w:ind w:right="176"/>
              <w:rPr>
                <w:b/>
              </w:rPr>
            </w:pPr>
          </w:p>
          <w:p w:rsidR="00E47110" w:rsidRPr="005C5695" w:rsidRDefault="00E47110" w:rsidP="005D1564">
            <w:pPr>
              <w:spacing w:line="260" w:lineRule="exact"/>
              <w:ind w:right="176"/>
              <w:rPr>
                <w:b/>
              </w:rPr>
            </w:pPr>
            <w:r w:rsidRPr="005C5695">
              <w:rPr>
                <w:b/>
              </w:rPr>
              <w:t>20,1%</w:t>
            </w:r>
          </w:p>
        </w:tc>
      </w:tr>
      <w:tr w:rsidR="00841734" w:rsidRPr="005C5695" w:rsidTr="005C5695">
        <w:trPr>
          <w:trHeight w:val="1065"/>
          <w:jc w:val="center"/>
        </w:trPr>
        <w:tc>
          <w:tcPr>
            <w:tcW w:w="534" w:type="dxa"/>
            <w:vMerge/>
          </w:tcPr>
          <w:p w:rsidR="00841734" w:rsidRPr="005C5695" w:rsidRDefault="00841734" w:rsidP="005D1564">
            <w:pPr>
              <w:spacing w:line="260" w:lineRule="exact"/>
              <w:ind w:left="142" w:right="120"/>
              <w:rPr>
                <w:b/>
                <w:sz w:val="26"/>
                <w:szCs w:val="26"/>
              </w:rPr>
            </w:pPr>
          </w:p>
        </w:tc>
        <w:tc>
          <w:tcPr>
            <w:tcW w:w="4564" w:type="dxa"/>
            <w:vMerge/>
          </w:tcPr>
          <w:p w:rsidR="00841734" w:rsidRPr="005C5695" w:rsidRDefault="00841734" w:rsidP="005D1564">
            <w:pPr>
              <w:spacing w:line="260" w:lineRule="exact"/>
              <w:ind w:left="142" w:right="120"/>
              <w:rPr>
                <w:sz w:val="26"/>
                <w:szCs w:val="26"/>
              </w:rPr>
            </w:pPr>
          </w:p>
        </w:tc>
        <w:tc>
          <w:tcPr>
            <w:tcW w:w="5812" w:type="dxa"/>
            <w:vMerge/>
          </w:tcPr>
          <w:p w:rsidR="00841734" w:rsidRPr="005C5695" w:rsidRDefault="00841734" w:rsidP="005D1564">
            <w:pPr>
              <w:jc w:val="both"/>
            </w:pPr>
          </w:p>
        </w:tc>
        <w:tc>
          <w:tcPr>
            <w:tcW w:w="1701" w:type="dxa"/>
          </w:tcPr>
          <w:p w:rsidR="00841734" w:rsidRPr="005C5695" w:rsidRDefault="00841734" w:rsidP="005D1564">
            <w:pPr>
              <w:spacing w:line="260" w:lineRule="exact"/>
              <w:ind w:right="176"/>
              <w:rPr>
                <w:b/>
              </w:rPr>
            </w:pPr>
          </w:p>
          <w:p w:rsidR="00841734" w:rsidRPr="005C5695" w:rsidRDefault="00E47110" w:rsidP="005D1564">
            <w:pPr>
              <w:spacing w:line="260" w:lineRule="exact"/>
              <w:ind w:right="176"/>
              <w:rPr>
                <w:b/>
              </w:rPr>
            </w:pPr>
            <w:r w:rsidRPr="005C5695">
              <w:rPr>
                <w:b/>
              </w:rPr>
              <w:t>22,4</w:t>
            </w:r>
            <w:r w:rsidR="00841734" w:rsidRPr="005C5695">
              <w:rPr>
                <w:b/>
              </w:rPr>
              <w:t>%</w:t>
            </w:r>
          </w:p>
        </w:tc>
        <w:tc>
          <w:tcPr>
            <w:tcW w:w="1559" w:type="dxa"/>
          </w:tcPr>
          <w:p w:rsidR="00841734" w:rsidRPr="005C5695" w:rsidRDefault="00841734" w:rsidP="005D1564">
            <w:pPr>
              <w:spacing w:line="260" w:lineRule="exact"/>
              <w:ind w:right="176"/>
              <w:rPr>
                <w:b/>
              </w:rPr>
            </w:pPr>
          </w:p>
          <w:p w:rsidR="00E47110" w:rsidRPr="005C5695" w:rsidRDefault="00E47110" w:rsidP="005D1564">
            <w:pPr>
              <w:spacing w:line="260" w:lineRule="exact"/>
              <w:ind w:right="176"/>
              <w:rPr>
                <w:b/>
              </w:rPr>
            </w:pPr>
            <w:r w:rsidRPr="005C5695">
              <w:rPr>
                <w:b/>
              </w:rPr>
              <w:t>21,5%</w:t>
            </w:r>
          </w:p>
        </w:tc>
      </w:tr>
      <w:tr w:rsidR="00841734" w:rsidRPr="005C5695" w:rsidTr="005D1564">
        <w:trPr>
          <w:jc w:val="center"/>
        </w:trPr>
        <w:tc>
          <w:tcPr>
            <w:tcW w:w="534" w:type="dxa"/>
            <w:vMerge w:val="restart"/>
          </w:tcPr>
          <w:p w:rsidR="00841734" w:rsidRPr="005C5695" w:rsidRDefault="00841734" w:rsidP="005D1564">
            <w:pPr>
              <w:spacing w:line="260" w:lineRule="exact"/>
              <w:ind w:left="142" w:right="120"/>
              <w:rPr>
                <w:sz w:val="26"/>
                <w:szCs w:val="26"/>
              </w:rPr>
            </w:pPr>
            <w:r w:rsidRPr="005C5695">
              <w:rPr>
                <w:sz w:val="26"/>
                <w:szCs w:val="26"/>
              </w:rPr>
              <w:t>5</w:t>
            </w:r>
          </w:p>
        </w:tc>
        <w:tc>
          <w:tcPr>
            <w:tcW w:w="4564" w:type="dxa"/>
            <w:vMerge w:val="restart"/>
          </w:tcPr>
          <w:p w:rsidR="00841734" w:rsidRPr="005C5695" w:rsidRDefault="00841734" w:rsidP="005D1564">
            <w:pPr>
              <w:spacing w:line="260" w:lineRule="exact"/>
              <w:ind w:left="142" w:right="120"/>
              <w:rPr>
                <w:sz w:val="26"/>
                <w:szCs w:val="26"/>
              </w:rPr>
            </w:pPr>
            <w:r w:rsidRPr="005C5695">
              <w:rPr>
                <w:sz w:val="26"/>
                <w:szCs w:val="26"/>
              </w:rPr>
              <w:t>3.3.3. «Заболеваемость малярией на 1000 человек»;</w:t>
            </w:r>
          </w:p>
          <w:p w:rsidR="00841734" w:rsidRPr="005C5695" w:rsidRDefault="00841734" w:rsidP="005D1564">
            <w:pPr>
              <w:spacing w:line="260" w:lineRule="exact"/>
              <w:ind w:left="142" w:right="120"/>
              <w:rPr>
                <w:sz w:val="26"/>
                <w:szCs w:val="26"/>
              </w:rPr>
            </w:pPr>
            <w:r w:rsidRPr="005C5695">
              <w:rPr>
                <w:sz w:val="26"/>
                <w:szCs w:val="26"/>
              </w:rPr>
              <w:t>3.9.1. «Смертность от загрязнения воздуха в жилых помещениях и атмосферного воздуха»;</w:t>
            </w:r>
          </w:p>
          <w:p w:rsidR="00841734" w:rsidRPr="005C5695" w:rsidRDefault="00841734" w:rsidP="005D1564">
            <w:pPr>
              <w:spacing w:line="260" w:lineRule="exact"/>
              <w:ind w:left="142" w:right="120"/>
              <w:rPr>
                <w:sz w:val="26"/>
                <w:szCs w:val="26"/>
              </w:rPr>
            </w:pPr>
            <w:r w:rsidRPr="005C5695">
              <w:rPr>
                <w:sz w:val="26"/>
                <w:szCs w:val="26"/>
              </w:rPr>
              <w:lastRenderedPageBreak/>
              <w:t>3.9.2. «Смертность от отсутствия безопасной воды, безопасной санитарии и гигиены (от отсутствия безопасных услуг в области водоснабжения, санитарии и гигиены (ВССГ) для всех)»;</w:t>
            </w:r>
          </w:p>
          <w:p w:rsidR="00841734" w:rsidRPr="005C5695" w:rsidRDefault="00841734" w:rsidP="005D1564">
            <w:pPr>
              <w:spacing w:line="260" w:lineRule="exact"/>
              <w:ind w:left="142" w:right="120"/>
              <w:rPr>
                <w:sz w:val="26"/>
                <w:szCs w:val="26"/>
              </w:rPr>
            </w:pPr>
            <w:r w:rsidRPr="005C5695">
              <w:rPr>
                <w:sz w:val="26"/>
                <w:szCs w:val="26"/>
              </w:rPr>
              <w:t>6.b.1. «Доля местных административных единиц, в которых действуют правила и процедуры участия граждан в управлении водными ресурсами и санитарией»;</w:t>
            </w:r>
          </w:p>
          <w:p w:rsidR="00841734" w:rsidRPr="005C5695" w:rsidRDefault="00841734" w:rsidP="005D1564">
            <w:pPr>
              <w:spacing w:line="260" w:lineRule="exact"/>
              <w:ind w:left="142" w:right="120"/>
              <w:rPr>
                <w:sz w:val="26"/>
                <w:szCs w:val="26"/>
              </w:rPr>
            </w:pPr>
            <w:r w:rsidRPr="005C5695">
              <w:rPr>
                <w:sz w:val="26"/>
                <w:szCs w:val="26"/>
              </w:rPr>
              <w:t>7.1.2. «Доступ к чистым источникам энергии и технологиям в быту»;</w:t>
            </w:r>
          </w:p>
          <w:p w:rsidR="00841734" w:rsidRPr="005C5695" w:rsidRDefault="00841734" w:rsidP="005D1564">
            <w:pPr>
              <w:spacing w:line="260" w:lineRule="exact"/>
              <w:ind w:left="142" w:right="120"/>
              <w:rPr>
                <w:sz w:val="26"/>
                <w:szCs w:val="26"/>
              </w:rPr>
            </w:pPr>
            <w:r w:rsidRPr="005C5695">
              <w:rPr>
                <w:sz w:val="26"/>
                <w:szCs w:val="26"/>
              </w:rPr>
              <w:t>11.6.2. «Среднегодовой  уровень содержания мелких твердых частиц (класса РМ) в атмосфере отдельных городов (в пересчете на численность населения)»;</w:t>
            </w:r>
          </w:p>
          <w:p w:rsidR="00841734" w:rsidRPr="005C5695" w:rsidRDefault="00841734" w:rsidP="005D1564">
            <w:pPr>
              <w:spacing w:line="260" w:lineRule="exact"/>
              <w:ind w:left="142" w:right="120"/>
              <w:rPr>
                <w:b/>
                <w:sz w:val="26"/>
                <w:szCs w:val="26"/>
              </w:rPr>
            </w:pPr>
            <w:r w:rsidRPr="005C5695">
              <w:rPr>
                <w:sz w:val="26"/>
                <w:szCs w:val="26"/>
              </w:rPr>
              <w:t>11.7.1. «Средняя доля городской территории, относящейся к общественным местам, с доступностью по полу, возрасту и инвалидности»</w:t>
            </w:r>
          </w:p>
        </w:tc>
        <w:tc>
          <w:tcPr>
            <w:tcW w:w="5812" w:type="dxa"/>
          </w:tcPr>
          <w:p w:rsidR="00841734" w:rsidRPr="005C5695" w:rsidRDefault="00841734" w:rsidP="005D1564">
            <w:pPr>
              <w:jc w:val="both"/>
            </w:pPr>
            <w:r w:rsidRPr="005C5695">
              <w:lastRenderedPageBreak/>
              <w:t>«(%) Охват тренингом по вопросам управления общественным здоровьем в рамках выполнения показателя ЦУР»:</w:t>
            </w:r>
            <w:r w:rsidRPr="005C5695">
              <w:rPr>
                <w:rStyle w:val="FontStyle25"/>
                <w:color w:val="auto"/>
              </w:rPr>
              <w:t xml:space="preserve"> </w:t>
            </w:r>
            <w:r w:rsidRPr="005C5695">
              <w:rPr>
                <w:rStyle w:val="FontStyle24"/>
                <w:color w:val="auto"/>
              </w:rPr>
              <w:t xml:space="preserve">«2.85 </w:t>
            </w:r>
            <w:r w:rsidRPr="005C5695">
              <w:rPr>
                <w:rStyle w:val="FontStyle25"/>
                <w:color w:val="auto"/>
              </w:rPr>
              <w:t xml:space="preserve">Охват тренингом по вопросам управления общественным здоровьем работников органов управления </w:t>
            </w:r>
            <w:r w:rsidRPr="005C5695">
              <w:t>(%)»</w:t>
            </w:r>
          </w:p>
          <w:p w:rsidR="00841734" w:rsidRPr="005C5695" w:rsidRDefault="00841734" w:rsidP="005D1564">
            <w:pPr>
              <w:jc w:val="both"/>
            </w:pPr>
            <w:r w:rsidRPr="005C5695">
              <w:rPr>
                <w:b/>
              </w:rPr>
              <w:t>Не менее 50%</w:t>
            </w:r>
          </w:p>
        </w:tc>
        <w:tc>
          <w:tcPr>
            <w:tcW w:w="1701" w:type="dxa"/>
          </w:tcPr>
          <w:p w:rsidR="00841734" w:rsidRPr="005C5695" w:rsidRDefault="00841734" w:rsidP="005D1564">
            <w:pPr>
              <w:spacing w:line="260" w:lineRule="exact"/>
              <w:ind w:left="34" w:right="176"/>
              <w:rPr>
                <w:b/>
              </w:rPr>
            </w:pPr>
          </w:p>
          <w:p w:rsidR="001E7B99" w:rsidRPr="005C5695" w:rsidRDefault="001E7B99" w:rsidP="005D1564">
            <w:pPr>
              <w:spacing w:line="260" w:lineRule="exact"/>
              <w:ind w:left="34" w:right="176"/>
              <w:rPr>
                <w:b/>
              </w:rPr>
            </w:pPr>
          </w:p>
          <w:p w:rsidR="001E7B99" w:rsidRPr="005C5695" w:rsidRDefault="001E7B99" w:rsidP="005C5695">
            <w:pPr>
              <w:spacing w:line="260" w:lineRule="exact"/>
              <w:ind w:right="176"/>
              <w:rPr>
                <w:b/>
              </w:rPr>
            </w:pPr>
          </w:p>
          <w:p w:rsidR="001E7B99" w:rsidRDefault="001E7B99" w:rsidP="005D1564">
            <w:pPr>
              <w:spacing w:line="260" w:lineRule="exact"/>
              <w:ind w:right="176"/>
              <w:rPr>
                <w:b/>
              </w:rPr>
            </w:pPr>
          </w:p>
          <w:p w:rsidR="005C5695" w:rsidRPr="005C5695" w:rsidRDefault="005C5695" w:rsidP="005D1564">
            <w:pPr>
              <w:spacing w:line="260" w:lineRule="exact"/>
              <w:ind w:right="176"/>
              <w:rPr>
                <w:b/>
              </w:rPr>
            </w:pPr>
          </w:p>
          <w:p w:rsidR="00841734" w:rsidRPr="005C5695" w:rsidRDefault="00841734" w:rsidP="005D1564">
            <w:pPr>
              <w:spacing w:line="260" w:lineRule="exact"/>
              <w:ind w:left="34" w:right="176"/>
              <w:rPr>
                <w:b/>
              </w:rPr>
            </w:pPr>
            <w:r w:rsidRPr="005C5695">
              <w:rPr>
                <w:b/>
              </w:rPr>
              <w:t>50%</w:t>
            </w:r>
          </w:p>
        </w:tc>
        <w:tc>
          <w:tcPr>
            <w:tcW w:w="1559" w:type="dxa"/>
          </w:tcPr>
          <w:p w:rsidR="008B20E2" w:rsidRPr="005C5695" w:rsidRDefault="008B20E2" w:rsidP="005D1564">
            <w:pPr>
              <w:spacing w:line="260" w:lineRule="exact"/>
              <w:ind w:left="34" w:right="176"/>
              <w:rPr>
                <w:b/>
              </w:rPr>
            </w:pPr>
          </w:p>
          <w:p w:rsidR="008B20E2" w:rsidRPr="005C5695" w:rsidRDefault="008B20E2" w:rsidP="005D1564">
            <w:pPr>
              <w:spacing w:line="260" w:lineRule="exact"/>
              <w:ind w:left="34" w:right="176"/>
              <w:rPr>
                <w:b/>
              </w:rPr>
            </w:pPr>
          </w:p>
          <w:p w:rsidR="008B20E2" w:rsidRPr="005C5695" w:rsidRDefault="008B20E2" w:rsidP="005D1564">
            <w:pPr>
              <w:spacing w:line="260" w:lineRule="exact"/>
              <w:ind w:left="34" w:right="176"/>
              <w:rPr>
                <w:b/>
              </w:rPr>
            </w:pPr>
          </w:p>
          <w:p w:rsidR="008B20E2" w:rsidRDefault="008B20E2" w:rsidP="005C5695">
            <w:pPr>
              <w:spacing w:line="260" w:lineRule="exact"/>
              <w:ind w:right="176"/>
              <w:rPr>
                <w:b/>
              </w:rPr>
            </w:pPr>
          </w:p>
          <w:p w:rsidR="005C5695" w:rsidRPr="005C5695" w:rsidRDefault="005C5695" w:rsidP="005C5695">
            <w:pPr>
              <w:spacing w:line="260" w:lineRule="exact"/>
              <w:ind w:right="176"/>
              <w:rPr>
                <w:b/>
              </w:rPr>
            </w:pPr>
          </w:p>
          <w:p w:rsidR="00841734" w:rsidRPr="005C5695" w:rsidRDefault="008B20E2" w:rsidP="005D1564">
            <w:pPr>
              <w:spacing w:line="260" w:lineRule="exact"/>
              <w:ind w:left="34" w:right="176"/>
              <w:rPr>
                <w:b/>
              </w:rPr>
            </w:pPr>
            <w:r w:rsidRPr="005C5695">
              <w:rPr>
                <w:b/>
              </w:rPr>
              <w:t>50%</w:t>
            </w:r>
          </w:p>
        </w:tc>
      </w:tr>
      <w:tr w:rsidR="00841734" w:rsidRPr="005C5695" w:rsidTr="005C5695">
        <w:trPr>
          <w:trHeight w:val="623"/>
          <w:jc w:val="center"/>
        </w:trPr>
        <w:tc>
          <w:tcPr>
            <w:tcW w:w="534" w:type="dxa"/>
            <w:vMerge/>
          </w:tcPr>
          <w:p w:rsidR="00841734" w:rsidRPr="005C5695" w:rsidRDefault="00841734" w:rsidP="005D1564">
            <w:pPr>
              <w:spacing w:line="260" w:lineRule="exact"/>
              <w:ind w:left="142" w:right="120"/>
              <w:rPr>
                <w:b/>
                <w:sz w:val="26"/>
                <w:szCs w:val="26"/>
              </w:rPr>
            </w:pPr>
          </w:p>
        </w:tc>
        <w:tc>
          <w:tcPr>
            <w:tcW w:w="4564" w:type="dxa"/>
            <w:vMerge/>
          </w:tcPr>
          <w:p w:rsidR="00841734" w:rsidRPr="005C5695" w:rsidRDefault="00841734" w:rsidP="005D1564">
            <w:pPr>
              <w:spacing w:line="260" w:lineRule="exact"/>
              <w:ind w:left="142" w:right="120"/>
              <w:rPr>
                <w:b/>
                <w:sz w:val="26"/>
                <w:szCs w:val="26"/>
              </w:rPr>
            </w:pPr>
          </w:p>
        </w:tc>
        <w:tc>
          <w:tcPr>
            <w:tcW w:w="5812" w:type="dxa"/>
          </w:tcPr>
          <w:p w:rsidR="00841734" w:rsidRPr="005C5695" w:rsidRDefault="00841734" w:rsidP="005D1564">
            <w:pPr>
              <w:jc w:val="both"/>
            </w:pPr>
            <w:r w:rsidRPr="005C5695">
              <w:t xml:space="preserve">«(%) Охват тренингом по вопросам управления общественным здоровьем в рамках выполнения показателя ЦУР»: «2.86 Охват тренингом по вопросам управления общественным здоровьем руководителей субъектов социально-экономической деятельности (%)» </w:t>
            </w:r>
          </w:p>
          <w:p w:rsidR="00841734" w:rsidRPr="005C5695" w:rsidRDefault="00841734" w:rsidP="005D1564">
            <w:pPr>
              <w:jc w:val="both"/>
            </w:pPr>
            <w:r w:rsidRPr="005C5695">
              <w:rPr>
                <w:b/>
              </w:rPr>
              <w:t>Не менее 40%</w:t>
            </w:r>
          </w:p>
        </w:tc>
        <w:tc>
          <w:tcPr>
            <w:tcW w:w="1701" w:type="dxa"/>
          </w:tcPr>
          <w:p w:rsidR="00841734" w:rsidRPr="005C5695" w:rsidRDefault="00841734" w:rsidP="005D1564">
            <w:pPr>
              <w:spacing w:line="260" w:lineRule="exact"/>
              <w:ind w:left="34" w:right="176"/>
              <w:rPr>
                <w:b/>
              </w:rPr>
            </w:pPr>
          </w:p>
          <w:p w:rsidR="00841734" w:rsidRPr="005C5695" w:rsidRDefault="00841734" w:rsidP="005D1564">
            <w:pPr>
              <w:spacing w:line="260" w:lineRule="exact"/>
              <w:ind w:left="34" w:right="176"/>
              <w:rPr>
                <w:b/>
              </w:rPr>
            </w:pPr>
          </w:p>
          <w:p w:rsidR="00841734" w:rsidRPr="005C5695" w:rsidRDefault="00841734" w:rsidP="005D1564">
            <w:pPr>
              <w:spacing w:line="260" w:lineRule="exact"/>
              <w:ind w:left="34" w:right="176"/>
              <w:rPr>
                <w:b/>
              </w:rPr>
            </w:pPr>
          </w:p>
          <w:p w:rsidR="00841734" w:rsidRPr="005C5695" w:rsidRDefault="00841734" w:rsidP="005D1564">
            <w:pPr>
              <w:spacing w:line="260" w:lineRule="exact"/>
              <w:ind w:left="34" w:right="176"/>
              <w:rPr>
                <w:b/>
              </w:rPr>
            </w:pPr>
          </w:p>
          <w:p w:rsidR="00841734" w:rsidRPr="005C5695" w:rsidRDefault="00841734" w:rsidP="005D1564">
            <w:pPr>
              <w:spacing w:line="260" w:lineRule="exact"/>
              <w:ind w:right="176"/>
              <w:rPr>
                <w:b/>
              </w:rPr>
            </w:pPr>
          </w:p>
          <w:p w:rsidR="00841734" w:rsidRPr="005C5695" w:rsidRDefault="00841734" w:rsidP="005D1564">
            <w:pPr>
              <w:spacing w:line="260" w:lineRule="exact"/>
              <w:ind w:left="34" w:right="176"/>
              <w:rPr>
                <w:b/>
              </w:rPr>
            </w:pPr>
          </w:p>
          <w:p w:rsidR="00841734" w:rsidRPr="005C5695" w:rsidRDefault="00841734" w:rsidP="005D1564">
            <w:pPr>
              <w:spacing w:line="260" w:lineRule="exact"/>
              <w:ind w:right="176"/>
              <w:rPr>
                <w:b/>
              </w:rPr>
            </w:pPr>
            <w:r w:rsidRPr="005C5695">
              <w:rPr>
                <w:b/>
              </w:rPr>
              <w:t>40%</w:t>
            </w:r>
          </w:p>
        </w:tc>
        <w:tc>
          <w:tcPr>
            <w:tcW w:w="1559" w:type="dxa"/>
            <w:vAlign w:val="bottom"/>
          </w:tcPr>
          <w:p w:rsidR="00841734" w:rsidRPr="005C5695" w:rsidRDefault="005C5695" w:rsidP="005C5695">
            <w:pPr>
              <w:spacing w:line="260" w:lineRule="exact"/>
              <w:ind w:right="176"/>
              <w:rPr>
                <w:b/>
              </w:rPr>
            </w:pPr>
            <w:r>
              <w:rPr>
                <w:b/>
              </w:rPr>
              <w:t>40%</w:t>
            </w:r>
          </w:p>
        </w:tc>
      </w:tr>
      <w:tr w:rsidR="005C5695" w:rsidRPr="005C5695" w:rsidTr="005E30E9">
        <w:trPr>
          <w:jc w:val="center"/>
        </w:trPr>
        <w:tc>
          <w:tcPr>
            <w:tcW w:w="534" w:type="dxa"/>
            <w:vMerge/>
          </w:tcPr>
          <w:p w:rsidR="005C5695" w:rsidRPr="005C5695" w:rsidRDefault="005C5695" w:rsidP="005C5695">
            <w:pPr>
              <w:spacing w:line="260" w:lineRule="exact"/>
              <w:ind w:left="142" w:right="120"/>
              <w:rPr>
                <w:sz w:val="26"/>
                <w:szCs w:val="26"/>
              </w:rPr>
            </w:pPr>
          </w:p>
        </w:tc>
        <w:tc>
          <w:tcPr>
            <w:tcW w:w="4564" w:type="dxa"/>
            <w:vMerge/>
          </w:tcPr>
          <w:p w:rsidR="005C5695" w:rsidRPr="005C5695" w:rsidRDefault="005C5695" w:rsidP="005C5695">
            <w:pPr>
              <w:spacing w:line="260" w:lineRule="exact"/>
              <w:ind w:left="142" w:right="120"/>
              <w:rPr>
                <w:b/>
                <w:sz w:val="26"/>
                <w:szCs w:val="26"/>
              </w:rPr>
            </w:pPr>
          </w:p>
        </w:tc>
        <w:tc>
          <w:tcPr>
            <w:tcW w:w="5812" w:type="dxa"/>
          </w:tcPr>
          <w:p w:rsidR="005C5695" w:rsidRPr="005C5695" w:rsidRDefault="005C5695" w:rsidP="005C5695">
            <w:pPr>
              <w:jc w:val="both"/>
            </w:pPr>
            <w:r w:rsidRPr="005C5695">
              <w:t>«(%) Охват тренингом по вопросам управления общественным здоровьем в рамках выполнения показателя ЦУР»: «2.87 Охват тренингом по вопросам общественного здоровья работников СМИ (%)»</w:t>
            </w:r>
          </w:p>
          <w:p w:rsidR="005C5695" w:rsidRPr="005C5695" w:rsidRDefault="005C5695" w:rsidP="005C5695">
            <w:pPr>
              <w:jc w:val="both"/>
            </w:pPr>
            <w:r w:rsidRPr="005C5695">
              <w:rPr>
                <w:b/>
              </w:rPr>
              <w:t>Не менее 50%</w:t>
            </w:r>
          </w:p>
        </w:tc>
        <w:tc>
          <w:tcPr>
            <w:tcW w:w="1701" w:type="dxa"/>
          </w:tcPr>
          <w:p w:rsidR="005C5695" w:rsidRPr="005C5695" w:rsidRDefault="005C5695" w:rsidP="005C5695">
            <w:pPr>
              <w:spacing w:line="260" w:lineRule="exact"/>
              <w:ind w:left="34" w:right="176"/>
              <w:rPr>
                <w:b/>
              </w:rPr>
            </w:pPr>
          </w:p>
          <w:p w:rsidR="005C5695" w:rsidRPr="005C5695" w:rsidRDefault="005C5695" w:rsidP="005C5695">
            <w:pPr>
              <w:spacing w:line="260" w:lineRule="exact"/>
              <w:ind w:left="34" w:right="176"/>
              <w:rPr>
                <w:b/>
              </w:rPr>
            </w:pPr>
          </w:p>
          <w:p w:rsidR="005C5695" w:rsidRPr="005C5695" w:rsidRDefault="005C5695" w:rsidP="005C5695">
            <w:pPr>
              <w:spacing w:line="260" w:lineRule="exact"/>
              <w:ind w:left="34" w:right="176"/>
              <w:rPr>
                <w:b/>
              </w:rPr>
            </w:pPr>
          </w:p>
          <w:p w:rsidR="005C5695" w:rsidRPr="005C5695" w:rsidRDefault="005C5695" w:rsidP="005C5695">
            <w:pPr>
              <w:spacing w:line="260" w:lineRule="exact"/>
              <w:ind w:left="34" w:right="176"/>
              <w:rPr>
                <w:b/>
              </w:rPr>
            </w:pPr>
          </w:p>
          <w:p w:rsidR="005C5695" w:rsidRPr="005C5695" w:rsidRDefault="005C5695" w:rsidP="005C5695">
            <w:pPr>
              <w:spacing w:line="260" w:lineRule="exact"/>
              <w:ind w:right="176"/>
              <w:rPr>
                <w:b/>
              </w:rPr>
            </w:pPr>
          </w:p>
          <w:p w:rsidR="005C5695" w:rsidRPr="005C5695" w:rsidRDefault="005C5695" w:rsidP="005C5695">
            <w:pPr>
              <w:spacing w:line="260" w:lineRule="exact"/>
              <w:ind w:right="176"/>
              <w:rPr>
                <w:b/>
              </w:rPr>
            </w:pPr>
            <w:r w:rsidRPr="005C5695">
              <w:rPr>
                <w:b/>
              </w:rPr>
              <w:t>50%</w:t>
            </w:r>
          </w:p>
        </w:tc>
        <w:tc>
          <w:tcPr>
            <w:tcW w:w="1559" w:type="dxa"/>
          </w:tcPr>
          <w:p w:rsidR="005C5695" w:rsidRPr="005C5695" w:rsidRDefault="005C5695" w:rsidP="005C5695">
            <w:pPr>
              <w:spacing w:line="260" w:lineRule="exact"/>
              <w:ind w:left="34" w:right="176"/>
              <w:rPr>
                <w:b/>
              </w:rPr>
            </w:pPr>
          </w:p>
          <w:p w:rsidR="005C5695" w:rsidRPr="005C5695" w:rsidRDefault="005C5695" w:rsidP="005C5695">
            <w:pPr>
              <w:spacing w:line="260" w:lineRule="exact"/>
              <w:ind w:left="34" w:right="176"/>
              <w:rPr>
                <w:b/>
              </w:rPr>
            </w:pPr>
          </w:p>
          <w:p w:rsidR="005C5695" w:rsidRPr="005C5695" w:rsidRDefault="005C5695" w:rsidP="005C5695">
            <w:pPr>
              <w:spacing w:line="260" w:lineRule="exact"/>
              <w:ind w:left="34" w:right="176"/>
              <w:rPr>
                <w:b/>
              </w:rPr>
            </w:pPr>
          </w:p>
          <w:p w:rsidR="005C5695" w:rsidRPr="005C5695" w:rsidRDefault="005C5695" w:rsidP="005C5695">
            <w:pPr>
              <w:spacing w:line="260" w:lineRule="exact"/>
              <w:ind w:left="34" w:right="176"/>
              <w:rPr>
                <w:b/>
              </w:rPr>
            </w:pPr>
          </w:p>
          <w:p w:rsidR="005C5695" w:rsidRPr="005C5695" w:rsidRDefault="005C5695" w:rsidP="005C5695">
            <w:pPr>
              <w:spacing w:line="260" w:lineRule="exact"/>
              <w:ind w:right="176"/>
              <w:rPr>
                <w:b/>
              </w:rPr>
            </w:pPr>
          </w:p>
          <w:p w:rsidR="005C5695" w:rsidRPr="005C5695" w:rsidRDefault="005C5695" w:rsidP="005C5695">
            <w:pPr>
              <w:spacing w:line="260" w:lineRule="exact"/>
              <w:ind w:right="176"/>
              <w:rPr>
                <w:b/>
              </w:rPr>
            </w:pPr>
            <w:r w:rsidRPr="005C5695">
              <w:rPr>
                <w:b/>
              </w:rPr>
              <w:t>50%</w:t>
            </w:r>
          </w:p>
        </w:tc>
      </w:tr>
      <w:tr w:rsidR="005C5695" w:rsidRPr="005C5695" w:rsidTr="005E30E9">
        <w:trPr>
          <w:jc w:val="center"/>
        </w:trPr>
        <w:tc>
          <w:tcPr>
            <w:tcW w:w="534" w:type="dxa"/>
            <w:vMerge/>
          </w:tcPr>
          <w:p w:rsidR="005C5695" w:rsidRPr="005C5695" w:rsidRDefault="005C5695" w:rsidP="005C5695">
            <w:pPr>
              <w:spacing w:line="260" w:lineRule="exact"/>
              <w:ind w:left="142" w:right="120"/>
              <w:rPr>
                <w:b/>
                <w:sz w:val="26"/>
                <w:szCs w:val="26"/>
              </w:rPr>
            </w:pPr>
          </w:p>
        </w:tc>
        <w:tc>
          <w:tcPr>
            <w:tcW w:w="4564" w:type="dxa"/>
            <w:vMerge/>
          </w:tcPr>
          <w:p w:rsidR="005C5695" w:rsidRPr="005C5695" w:rsidRDefault="005C5695" w:rsidP="005C5695">
            <w:pPr>
              <w:spacing w:line="260" w:lineRule="exact"/>
              <w:ind w:left="142" w:right="120"/>
              <w:rPr>
                <w:b/>
                <w:sz w:val="26"/>
                <w:szCs w:val="26"/>
              </w:rPr>
            </w:pPr>
          </w:p>
        </w:tc>
        <w:tc>
          <w:tcPr>
            <w:tcW w:w="5812" w:type="dxa"/>
          </w:tcPr>
          <w:p w:rsidR="005C5695" w:rsidRPr="005C5695" w:rsidRDefault="005C5695" w:rsidP="005C5695">
            <w:pPr>
              <w:jc w:val="both"/>
            </w:pPr>
            <w:r w:rsidRPr="005C5695">
              <w:t xml:space="preserve">«(%) Охват тренингом по вопросам управления общественным здоровьем в рамках выполнения показателя ЦУР»: «2.89 Уровень информированности руководителей субъектов социально-экономической деятельности о состоянии популяционного здоровья населения административной территории (%)» </w:t>
            </w:r>
          </w:p>
          <w:p w:rsidR="005C5695" w:rsidRPr="005C5695" w:rsidRDefault="005C5695" w:rsidP="005C5695">
            <w:pPr>
              <w:jc w:val="both"/>
            </w:pPr>
            <w:r w:rsidRPr="005C5695">
              <w:rPr>
                <w:b/>
              </w:rPr>
              <w:t>Не менее 50%</w:t>
            </w:r>
          </w:p>
        </w:tc>
        <w:tc>
          <w:tcPr>
            <w:tcW w:w="1701" w:type="dxa"/>
          </w:tcPr>
          <w:p w:rsidR="005C5695" w:rsidRPr="005C5695" w:rsidRDefault="005C5695" w:rsidP="005C5695">
            <w:pPr>
              <w:spacing w:line="260" w:lineRule="exact"/>
              <w:ind w:left="34" w:right="176"/>
              <w:rPr>
                <w:b/>
              </w:rPr>
            </w:pPr>
          </w:p>
          <w:p w:rsidR="005C5695" w:rsidRPr="005C5695" w:rsidRDefault="005C5695" w:rsidP="005C5695">
            <w:pPr>
              <w:spacing w:line="260" w:lineRule="exact"/>
              <w:ind w:left="34" w:right="176"/>
              <w:rPr>
                <w:b/>
              </w:rPr>
            </w:pPr>
          </w:p>
          <w:p w:rsidR="005C5695" w:rsidRPr="005C5695" w:rsidRDefault="005C5695" w:rsidP="005C5695">
            <w:pPr>
              <w:spacing w:line="260" w:lineRule="exact"/>
              <w:ind w:left="34" w:right="176"/>
              <w:rPr>
                <w:b/>
              </w:rPr>
            </w:pPr>
          </w:p>
          <w:p w:rsidR="005C5695" w:rsidRPr="005C5695" w:rsidRDefault="005C5695" w:rsidP="005C5695">
            <w:pPr>
              <w:spacing w:line="260" w:lineRule="exact"/>
              <w:ind w:left="34" w:right="176"/>
              <w:rPr>
                <w:b/>
              </w:rPr>
            </w:pPr>
          </w:p>
          <w:p w:rsidR="005C5695" w:rsidRPr="005C5695" w:rsidRDefault="005C5695" w:rsidP="005C5695">
            <w:pPr>
              <w:spacing w:line="260" w:lineRule="exact"/>
              <w:ind w:right="176"/>
              <w:rPr>
                <w:b/>
              </w:rPr>
            </w:pPr>
          </w:p>
          <w:p w:rsidR="005C5695" w:rsidRPr="005C5695" w:rsidRDefault="005C5695" w:rsidP="005C5695">
            <w:pPr>
              <w:spacing w:line="260" w:lineRule="exact"/>
              <w:ind w:right="176"/>
              <w:rPr>
                <w:b/>
              </w:rPr>
            </w:pPr>
          </w:p>
          <w:p w:rsidR="005C5695" w:rsidRPr="005C5695" w:rsidRDefault="005C5695" w:rsidP="005C5695">
            <w:pPr>
              <w:spacing w:line="260" w:lineRule="exact"/>
              <w:ind w:left="34" w:right="176"/>
              <w:rPr>
                <w:b/>
              </w:rPr>
            </w:pPr>
            <w:r w:rsidRPr="005C5695">
              <w:rPr>
                <w:b/>
              </w:rPr>
              <w:t>50%</w:t>
            </w:r>
          </w:p>
        </w:tc>
        <w:tc>
          <w:tcPr>
            <w:tcW w:w="1559" w:type="dxa"/>
          </w:tcPr>
          <w:p w:rsidR="005C5695" w:rsidRPr="005C5695" w:rsidRDefault="005C5695" w:rsidP="005C5695">
            <w:pPr>
              <w:spacing w:line="260" w:lineRule="exact"/>
              <w:ind w:left="34" w:right="176"/>
              <w:rPr>
                <w:b/>
              </w:rPr>
            </w:pPr>
          </w:p>
          <w:p w:rsidR="005C5695" w:rsidRPr="005C5695" w:rsidRDefault="005C5695" w:rsidP="005C5695">
            <w:pPr>
              <w:spacing w:line="260" w:lineRule="exact"/>
              <w:ind w:left="34" w:right="176"/>
              <w:rPr>
                <w:b/>
              </w:rPr>
            </w:pPr>
          </w:p>
          <w:p w:rsidR="005C5695" w:rsidRPr="005C5695" w:rsidRDefault="005C5695" w:rsidP="005C5695">
            <w:pPr>
              <w:spacing w:line="260" w:lineRule="exact"/>
              <w:ind w:left="34" w:right="176"/>
              <w:rPr>
                <w:b/>
              </w:rPr>
            </w:pPr>
          </w:p>
          <w:p w:rsidR="005C5695" w:rsidRPr="005C5695" w:rsidRDefault="005C5695" w:rsidP="005C5695">
            <w:pPr>
              <w:spacing w:line="260" w:lineRule="exact"/>
              <w:ind w:left="34" w:right="176"/>
              <w:rPr>
                <w:b/>
              </w:rPr>
            </w:pPr>
          </w:p>
          <w:p w:rsidR="005C5695" w:rsidRPr="005C5695" w:rsidRDefault="005C5695" w:rsidP="005C5695">
            <w:pPr>
              <w:spacing w:line="260" w:lineRule="exact"/>
              <w:ind w:right="176"/>
              <w:rPr>
                <w:b/>
              </w:rPr>
            </w:pPr>
          </w:p>
          <w:p w:rsidR="005C5695" w:rsidRPr="005C5695" w:rsidRDefault="005C5695" w:rsidP="005C5695">
            <w:pPr>
              <w:spacing w:line="260" w:lineRule="exact"/>
              <w:ind w:right="176"/>
              <w:rPr>
                <w:b/>
              </w:rPr>
            </w:pPr>
          </w:p>
          <w:p w:rsidR="005C5695" w:rsidRPr="005C5695" w:rsidRDefault="005C5695" w:rsidP="005C5695">
            <w:pPr>
              <w:spacing w:line="260" w:lineRule="exact"/>
              <w:ind w:left="34" w:right="176"/>
              <w:rPr>
                <w:b/>
              </w:rPr>
            </w:pPr>
            <w:r w:rsidRPr="005C5695">
              <w:rPr>
                <w:b/>
              </w:rPr>
              <w:t>50%</w:t>
            </w:r>
          </w:p>
        </w:tc>
      </w:tr>
      <w:tr w:rsidR="005C5695" w:rsidRPr="00F47A7A" w:rsidTr="005E30E9">
        <w:trPr>
          <w:jc w:val="center"/>
        </w:trPr>
        <w:tc>
          <w:tcPr>
            <w:tcW w:w="534" w:type="dxa"/>
            <w:vMerge/>
          </w:tcPr>
          <w:p w:rsidR="005C5695" w:rsidRPr="005C5695" w:rsidRDefault="005C5695" w:rsidP="005C5695">
            <w:pPr>
              <w:spacing w:line="260" w:lineRule="exact"/>
              <w:ind w:left="142" w:right="120"/>
              <w:rPr>
                <w:sz w:val="26"/>
                <w:szCs w:val="26"/>
              </w:rPr>
            </w:pPr>
          </w:p>
        </w:tc>
        <w:tc>
          <w:tcPr>
            <w:tcW w:w="4564" w:type="dxa"/>
            <w:vMerge/>
          </w:tcPr>
          <w:p w:rsidR="005C5695" w:rsidRPr="005C5695" w:rsidRDefault="005C5695" w:rsidP="005C5695">
            <w:pPr>
              <w:spacing w:line="260" w:lineRule="exact"/>
              <w:ind w:left="142" w:right="120"/>
              <w:rPr>
                <w:b/>
                <w:sz w:val="26"/>
                <w:szCs w:val="26"/>
              </w:rPr>
            </w:pPr>
          </w:p>
        </w:tc>
        <w:tc>
          <w:tcPr>
            <w:tcW w:w="5812" w:type="dxa"/>
          </w:tcPr>
          <w:p w:rsidR="005C5695" w:rsidRPr="005C5695" w:rsidRDefault="005C5695" w:rsidP="005C5695">
            <w:pPr>
              <w:jc w:val="both"/>
            </w:pPr>
            <w:r w:rsidRPr="005C5695">
              <w:t xml:space="preserve">«(%) Охват тренингом по вопросам управления общественным здоровьем в рамках выполнения показателя ЦУР»: «2.90 Уровень информированности работников СМИ о состоянии популяционного здоровья населения административной территории (%)» </w:t>
            </w:r>
          </w:p>
          <w:p w:rsidR="005C5695" w:rsidRPr="005C5695" w:rsidRDefault="005C5695" w:rsidP="005C5695">
            <w:pPr>
              <w:jc w:val="both"/>
            </w:pPr>
            <w:r w:rsidRPr="005C5695">
              <w:rPr>
                <w:b/>
              </w:rPr>
              <w:t>Не менее 60%</w:t>
            </w:r>
          </w:p>
        </w:tc>
        <w:tc>
          <w:tcPr>
            <w:tcW w:w="1701" w:type="dxa"/>
          </w:tcPr>
          <w:p w:rsidR="005C5695" w:rsidRPr="005C5695" w:rsidRDefault="005C5695" w:rsidP="005C5695">
            <w:pPr>
              <w:spacing w:line="260" w:lineRule="exact"/>
              <w:ind w:left="34" w:right="176"/>
              <w:rPr>
                <w:b/>
              </w:rPr>
            </w:pPr>
          </w:p>
          <w:p w:rsidR="005C5695" w:rsidRPr="005C5695" w:rsidRDefault="005C5695" w:rsidP="005C5695">
            <w:pPr>
              <w:spacing w:line="260" w:lineRule="exact"/>
              <w:ind w:left="34" w:right="176"/>
              <w:rPr>
                <w:b/>
              </w:rPr>
            </w:pPr>
          </w:p>
          <w:p w:rsidR="005C5695" w:rsidRPr="005C5695" w:rsidRDefault="005C5695" w:rsidP="005C5695">
            <w:pPr>
              <w:spacing w:line="260" w:lineRule="exact"/>
              <w:ind w:left="34" w:right="176"/>
              <w:rPr>
                <w:b/>
              </w:rPr>
            </w:pPr>
          </w:p>
          <w:p w:rsidR="005C5695" w:rsidRPr="005C5695" w:rsidRDefault="005C5695" w:rsidP="005C5695">
            <w:pPr>
              <w:spacing w:line="260" w:lineRule="exact"/>
              <w:ind w:left="34" w:right="176"/>
              <w:rPr>
                <w:b/>
              </w:rPr>
            </w:pPr>
          </w:p>
          <w:p w:rsidR="005C5695" w:rsidRPr="005C5695" w:rsidRDefault="005C5695" w:rsidP="005C5695">
            <w:pPr>
              <w:spacing w:line="260" w:lineRule="exact"/>
              <w:ind w:right="176"/>
              <w:rPr>
                <w:b/>
              </w:rPr>
            </w:pPr>
          </w:p>
          <w:p w:rsidR="005C5695" w:rsidRPr="005C5695" w:rsidRDefault="005C5695" w:rsidP="005C5695">
            <w:pPr>
              <w:spacing w:line="260" w:lineRule="exact"/>
              <w:ind w:left="34" w:right="176"/>
              <w:rPr>
                <w:b/>
              </w:rPr>
            </w:pPr>
          </w:p>
          <w:p w:rsidR="005C5695" w:rsidRPr="005C5695" w:rsidRDefault="005C5695" w:rsidP="005C5695">
            <w:pPr>
              <w:spacing w:line="260" w:lineRule="exact"/>
              <w:ind w:right="176"/>
              <w:rPr>
                <w:b/>
              </w:rPr>
            </w:pPr>
            <w:r w:rsidRPr="005C5695">
              <w:rPr>
                <w:b/>
              </w:rPr>
              <w:t>60%</w:t>
            </w:r>
          </w:p>
        </w:tc>
        <w:tc>
          <w:tcPr>
            <w:tcW w:w="1559" w:type="dxa"/>
          </w:tcPr>
          <w:p w:rsidR="005C5695" w:rsidRPr="005C5695" w:rsidRDefault="005C5695" w:rsidP="005C5695">
            <w:pPr>
              <w:spacing w:line="260" w:lineRule="exact"/>
              <w:ind w:left="34" w:right="176"/>
              <w:rPr>
                <w:b/>
              </w:rPr>
            </w:pPr>
          </w:p>
          <w:p w:rsidR="005C5695" w:rsidRPr="005C5695" w:rsidRDefault="005C5695" w:rsidP="005C5695">
            <w:pPr>
              <w:spacing w:line="260" w:lineRule="exact"/>
              <w:ind w:left="34" w:right="176"/>
              <w:rPr>
                <w:b/>
              </w:rPr>
            </w:pPr>
          </w:p>
          <w:p w:rsidR="005C5695" w:rsidRPr="005C5695" w:rsidRDefault="005C5695" w:rsidP="005C5695">
            <w:pPr>
              <w:spacing w:line="260" w:lineRule="exact"/>
              <w:ind w:left="34" w:right="176"/>
              <w:rPr>
                <w:b/>
              </w:rPr>
            </w:pPr>
          </w:p>
          <w:p w:rsidR="005C5695" w:rsidRPr="005C5695" w:rsidRDefault="005C5695" w:rsidP="005C5695">
            <w:pPr>
              <w:spacing w:line="260" w:lineRule="exact"/>
              <w:ind w:left="34" w:right="176"/>
              <w:rPr>
                <w:b/>
              </w:rPr>
            </w:pPr>
          </w:p>
          <w:p w:rsidR="005C5695" w:rsidRPr="005C5695" w:rsidRDefault="005C5695" w:rsidP="005C5695">
            <w:pPr>
              <w:spacing w:line="260" w:lineRule="exact"/>
              <w:ind w:right="176"/>
              <w:rPr>
                <w:b/>
              </w:rPr>
            </w:pPr>
          </w:p>
          <w:p w:rsidR="005C5695" w:rsidRPr="005C5695" w:rsidRDefault="005C5695" w:rsidP="005C5695">
            <w:pPr>
              <w:spacing w:line="260" w:lineRule="exact"/>
              <w:ind w:left="34" w:right="176"/>
              <w:rPr>
                <w:b/>
              </w:rPr>
            </w:pPr>
          </w:p>
          <w:p w:rsidR="005C5695" w:rsidRPr="005C5695" w:rsidRDefault="005C5695" w:rsidP="005C5695">
            <w:pPr>
              <w:spacing w:line="260" w:lineRule="exact"/>
              <w:ind w:right="176"/>
              <w:rPr>
                <w:b/>
              </w:rPr>
            </w:pPr>
            <w:r w:rsidRPr="005C5695">
              <w:rPr>
                <w:b/>
              </w:rPr>
              <w:t>60%</w:t>
            </w:r>
          </w:p>
        </w:tc>
      </w:tr>
    </w:tbl>
    <w:p w:rsidR="007A74E7" w:rsidRDefault="007A74E7" w:rsidP="005E5A91">
      <w:pPr>
        <w:spacing w:line="280" w:lineRule="exact"/>
        <w:rPr>
          <w:sz w:val="30"/>
          <w:szCs w:val="30"/>
        </w:rPr>
      </w:pPr>
    </w:p>
    <w:p w:rsidR="008864B0" w:rsidRDefault="008864B0" w:rsidP="005E5A91">
      <w:pPr>
        <w:spacing w:line="280" w:lineRule="exact"/>
        <w:rPr>
          <w:sz w:val="30"/>
          <w:szCs w:val="30"/>
        </w:rPr>
      </w:pPr>
    </w:p>
    <w:p w:rsidR="008864B0" w:rsidRDefault="008864B0" w:rsidP="005E5A91">
      <w:pPr>
        <w:spacing w:line="280" w:lineRule="exact"/>
        <w:rPr>
          <w:sz w:val="30"/>
          <w:szCs w:val="30"/>
        </w:rPr>
      </w:pPr>
    </w:p>
    <w:p w:rsidR="008864B0" w:rsidRDefault="008864B0" w:rsidP="005E5A91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Заведующий ООЗ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sz w:val="30"/>
          <w:szCs w:val="30"/>
        </w:rPr>
        <w:t xml:space="preserve">   А.М. Родич</w:t>
      </w:r>
    </w:p>
    <w:sectPr w:rsidR="008864B0" w:rsidSect="008B2BF0">
      <w:pgSz w:w="16838" w:h="11906" w:orient="landscape"/>
      <w:pgMar w:top="567" w:right="1276" w:bottom="680" w:left="52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CF"/>
    <w:rsid w:val="00026F14"/>
    <w:rsid w:val="00073D64"/>
    <w:rsid w:val="0007411E"/>
    <w:rsid w:val="000A4CA1"/>
    <w:rsid w:val="000F7883"/>
    <w:rsid w:val="00110893"/>
    <w:rsid w:val="001163A6"/>
    <w:rsid w:val="00122EAA"/>
    <w:rsid w:val="00123E4B"/>
    <w:rsid w:val="00164ED6"/>
    <w:rsid w:val="001E377C"/>
    <w:rsid w:val="001E7B99"/>
    <w:rsid w:val="002570D3"/>
    <w:rsid w:val="00276ED1"/>
    <w:rsid w:val="00283CBA"/>
    <w:rsid w:val="0028751B"/>
    <w:rsid w:val="002D0FD9"/>
    <w:rsid w:val="002F51E5"/>
    <w:rsid w:val="0035648F"/>
    <w:rsid w:val="003A20B0"/>
    <w:rsid w:val="003B16BA"/>
    <w:rsid w:val="003E0F16"/>
    <w:rsid w:val="003E404E"/>
    <w:rsid w:val="003E658D"/>
    <w:rsid w:val="00442CCF"/>
    <w:rsid w:val="00482C06"/>
    <w:rsid w:val="00485630"/>
    <w:rsid w:val="004878A4"/>
    <w:rsid w:val="00494BB7"/>
    <w:rsid w:val="004A70A8"/>
    <w:rsid w:val="004B096C"/>
    <w:rsid w:val="004F0820"/>
    <w:rsid w:val="00523067"/>
    <w:rsid w:val="00535DAD"/>
    <w:rsid w:val="005A08C0"/>
    <w:rsid w:val="005A5D74"/>
    <w:rsid w:val="005A69D3"/>
    <w:rsid w:val="005B6B4A"/>
    <w:rsid w:val="005C5695"/>
    <w:rsid w:val="005D1564"/>
    <w:rsid w:val="005E5A91"/>
    <w:rsid w:val="00604284"/>
    <w:rsid w:val="00605048"/>
    <w:rsid w:val="00605AEA"/>
    <w:rsid w:val="0064248D"/>
    <w:rsid w:val="006949B7"/>
    <w:rsid w:val="006A0AE0"/>
    <w:rsid w:val="006A3F4D"/>
    <w:rsid w:val="006B2102"/>
    <w:rsid w:val="0071701E"/>
    <w:rsid w:val="00726668"/>
    <w:rsid w:val="007528E0"/>
    <w:rsid w:val="00755E8E"/>
    <w:rsid w:val="0075736A"/>
    <w:rsid w:val="007A1075"/>
    <w:rsid w:val="007A74E7"/>
    <w:rsid w:val="007D5EE7"/>
    <w:rsid w:val="007F2017"/>
    <w:rsid w:val="00812898"/>
    <w:rsid w:val="00813CB7"/>
    <w:rsid w:val="00835A81"/>
    <w:rsid w:val="00841734"/>
    <w:rsid w:val="008504F7"/>
    <w:rsid w:val="0086290B"/>
    <w:rsid w:val="008839E6"/>
    <w:rsid w:val="008864B0"/>
    <w:rsid w:val="008B20E2"/>
    <w:rsid w:val="008B2BF0"/>
    <w:rsid w:val="008C0970"/>
    <w:rsid w:val="008C1A52"/>
    <w:rsid w:val="009035CB"/>
    <w:rsid w:val="00925FFF"/>
    <w:rsid w:val="00937C1E"/>
    <w:rsid w:val="0094634C"/>
    <w:rsid w:val="0096446E"/>
    <w:rsid w:val="00982348"/>
    <w:rsid w:val="00997B5B"/>
    <w:rsid w:val="009A05FB"/>
    <w:rsid w:val="009A78AC"/>
    <w:rsid w:val="009B0F21"/>
    <w:rsid w:val="009C4211"/>
    <w:rsid w:val="009C631D"/>
    <w:rsid w:val="00A05391"/>
    <w:rsid w:val="00A108B5"/>
    <w:rsid w:val="00A5016C"/>
    <w:rsid w:val="00A66C65"/>
    <w:rsid w:val="00A72D76"/>
    <w:rsid w:val="00A8546A"/>
    <w:rsid w:val="00A870B9"/>
    <w:rsid w:val="00A96854"/>
    <w:rsid w:val="00AA3625"/>
    <w:rsid w:val="00B05249"/>
    <w:rsid w:val="00B07314"/>
    <w:rsid w:val="00B214E2"/>
    <w:rsid w:val="00B32B34"/>
    <w:rsid w:val="00B6284D"/>
    <w:rsid w:val="00BA5E5F"/>
    <w:rsid w:val="00BB43B4"/>
    <w:rsid w:val="00BF3DEC"/>
    <w:rsid w:val="00C1457D"/>
    <w:rsid w:val="00C93069"/>
    <w:rsid w:val="00CC560C"/>
    <w:rsid w:val="00CD071E"/>
    <w:rsid w:val="00CD7C01"/>
    <w:rsid w:val="00D254F9"/>
    <w:rsid w:val="00D40F61"/>
    <w:rsid w:val="00D46293"/>
    <w:rsid w:val="00D73A84"/>
    <w:rsid w:val="00D7537B"/>
    <w:rsid w:val="00DA6341"/>
    <w:rsid w:val="00DB7C2B"/>
    <w:rsid w:val="00E072C4"/>
    <w:rsid w:val="00E214EC"/>
    <w:rsid w:val="00E431EF"/>
    <w:rsid w:val="00E47110"/>
    <w:rsid w:val="00E721F6"/>
    <w:rsid w:val="00E8680A"/>
    <w:rsid w:val="00E906DF"/>
    <w:rsid w:val="00EA3CAD"/>
    <w:rsid w:val="00EA641C"/>
    <w:rsid w:val="00EE0AC0"/>
    <w:rsid w:val="00F0509D"/>
    <w:rsid w:val="00F228FC"/>
    <w:rsid w:val="00F47A7A"/>
    <w:rsid w:val="00F66342"/>
    <w:rsid w:val="00FB5093"/>
    <w:rsid w:val="00FF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D6782"/>
  <w15:docId w15:val="{965C02BB-14CF-4513-9749-D6EF53A8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4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uiPriority w:val="99"/>
    <w:rsid w:val="007A74E7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5">
    <w:name w:val="Font Style25"/>
    <w:uiPriority w:val="99"/>
    <w:rsid w:val="007A74E7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528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8E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Регина Эдмундовна</cp:lastModifiedBy>
  <cp:revision>3</cp:revision>
  <cp:lastPrinted>2022-10-20T12:46:00Z</cp:lastPrinted>
  <dcterms:created xsi:type="dcterms:W3CDTF">2022-10-20T12:46:00Z</dcterms:created>
  <dcterms:modified xsi:type="dcterms:W3CDTF">2022-10-20T12:47:00Z</dcterms:modified>
</cp:coreProperties>
</file>